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  <w:t>湖南省高值医用耗材基础库系统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  <w:t>操作手册</w:t>
      </w:r>
    </w:p>
    <w:p>
      <w:pPr>
        <w:jc w:val="center"/>
        <w:rPr>
          <w:rFonts w:hint="eastAsia"/>
          <w:b/>
          <w:sz w:val="52"/>
          <w:szCs w:val="5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  <w:t>生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  <w:t>产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  <w:t>企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52"/>
          <w:szCs w:val="52"/>
        </w:rPr>
        <w:t>业</w:t>
      </w:r>
    </w:p>
    <w:p>
      <w:pPr>
        <w:jc w:val="center"/>
        <w:rPr>
          <w:b/>
          <w:sz w:val="52"/>
          <w:szCs w:val="52"/>
        </w:rPr>
      </w:pPr>
    </w:p>
    <w:p>
      <w:pPr>
        <w:jc w:val="center"/>
        <w:rPr>
          <w:b/>
          <w:sz w:val="52"/>
          <w:szCs w:val="52"/>
        </w:rPr>
      </w:pPr>
    </w:p>
    <w:p>
      <w:pPr>
        <w:jc w:val="center"/>
        <w:rPr>
          <w:b/>
          <w:sz w:val="52"/>
          <w:szCs w:val="52"/>
        </w:rPr>
      </w:pPr>
    </w:p>
    <w:p>
      <w:pPr>
        <w:jc w:val="center"/>
        <w:rPr>
          <w:b/>
          <w:sz w:val="52"/>
          <w:szCs w:val="52"/>
        </w:rPr>
      </w:pPr>
    </w:p>
    <w:p>
      <w:pPr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湖南省公共资源交易中心</w:t>
      </w:r>
    </w:p>
    <w:p>
      <w:pPr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201</w:t>
      </w:r>
      <w:r>
        <w:rPr>
          <w:rFonts w:ascii="仿宋_GB2312" w:eastAsia="仿宋_GB2312"/>
          <w:b/>
          <w:sz w:val="32"/>
          <w:szCs w:val="32"/>
        </w:rPr>
        <w:t>8</w:t>
      </w:r>
      <w:r>
        <w:rPr>
          <w:rFonts w:hint="eastAsia" w:ascii="仿宋_GB2312" w:eastAsia="仿宋_GB2312"/>
          <w:b/>
          <w:sz w:val="32"/>
          <w:szCs w:val="32"/>
        </w:rPr>
        <w:t>年</w:t>
      </w:r>
      <w:r>
        <w:rPr>
          <w:rFonts w:ascii="仿宋_GB2312" w:eastAsia="仿宋_GB2312"/>
          <w:b/>
          <w:sz w:val="32"/>
          <w:szCs w:val="32"/>
        </w:rPr>
        <w:t>3</w:t>
      </w:r>
      <w:r>
        <w:rPr>
          <w:rFonts w:hint="eastAsia" w:ascii="仿宋_GB2312" w:eastAsia="仿宋_GB2312"/>
          <w:b/>
          <w:sz w:val="32"/>
          <w:szCs w:val="32"/>
        </w:rPr>
        <w:t>月</w:t>
      </w:r>
    </w:p>
    <w:p>
      <w:pPr>
        <w:jc w:val="center"/>
        <w:rPr>
          <w:b/>
          <w:sz w:val="36"/>
          <w:szCs w:val="36"/>
        </w:rPr>
      </w:pPr>
    </w:p>
    <w:p>
      <w:pPr>
        <w:jc w:val="center"/>
        <w:rPr>
          <w:b/>
          <w:sz w:val="36"/>
          <w:szCs w:val="36"/>
        </w:rPr>
      </w:pPr>
    </w:p>
    <w:p>
      <w:pPr>
        <w:jc w:val="center"/>
        <w:rPr>
          <w:b/>
          <w:sz w:val="36"/>
          <w:szCs w:val="36"/>
        </w:rPr>
      </w:pPr>
    </w:p>
    <w:p>
      <w:pPr>
        <w:jc w:val="center"/>
        <w:rPr>
          <w:b/>
          <w:sz w:val="36"/>
          <w:szCs w:val="36"/>
        </w:rPr>
      </w:pPr>
    </w:p>
    <w:p>
      <w:pPr>
        <w:pStyle w:val="14"/>
        <w:jc w:val="center"/>
        <w:rPr>
          <w:rFonts w:hint="eastAsia" w:ascii="黑体" w:hAnsi="黑体" w:eastAsia="黑体" w:cs="黑体"/>
          <w:color w:val="auto"/>
          <w:kern w:val="2"/>
          <w:sz w:val="44"/>
          <w:szCs w:val="44"/>
          <w:lang w:val="zh-CN"/>
        </w:rPr>
      </w:pPr>
      <w:r>
        <w:rPr>
          <w:rFonts w:hint="eastAsia" w:ascii="黑体" w:hAnsi="黑体" w:eastAsia="黑体" w:cs="黑体"/>
          <w:color w:val="auto"/>
          <w:kern w:val="2"/>
          <w:sz w:val="44"/>
          <w:szCs w:val="44"/>
          <w:lang w:val="zh-CN"/>
        </w:rPr>
        <w:br w:type="page"/>
      </w:r>
    </w:p>
    <w:sdt>
      <w:sdtPr>
        <w:rPr>
          <w:rFonts w:hint="eastAsia" w:ascii="黑体" w:hAnsi="黑体" w:eastAsia="黑体" w:cs="黑体"/>
          <w:color w:val="auto"/>
          <w:kern w:val="2"/>
          <w:sz w:val="32"/>
          <w:szCs w:val="32"/>
          <w:lang w:val="zh-CN"/>
        </w:rPr>
        <w:id w:val="-288362643"/>
      </w:sdtPr>
      <w:sdtEndPr>
        <w:rPr>
          <w:rFonts w:hint="eastAsia" w:ascii="Times New Roman" w:hAnsi="Times New Roman" w:eastAsia="宋体" w:cs="Times New Roman"/>
          <w:b/>
          <w:bCs/>
          <w:color w:val="auto"/>
          <w:kern w:val="2"/>
          <w:sz w:val="21"/>
          <w:szCs w:val="22"/>
          <w:lang w:val="zh-CN"/>
        </w:rPr>
      </w:sdtEndPr>
      <w:sdtContent>
        <w:p>
          <w:pPr>
            <w:pStyle w:val="14"/>
            <w:jc w:val="center"/>
            <w:rPr>
              <w:rFonts w:hint="eastAsia" w:ascii="黑体" w:hAnsi="黑体" w:eastAsia="黑体" w:cs="黑体"/>
              <w:color w:val="auto"/>
              <w:sz w:val="32"/>
              <w:szCs w:val="32"/>
            </w:rPr>
          </w:pPr>
          <w:r>
            <w:rPr>
              <w:rFonts w:hint="eastAsia" w:ascii="黑体" w:hAnsi="黑体" w:eastAsia="黑体" w:cs="黑体"/>
              <w:color w:val="auto"/>
              <w:sz w:val="32"/>
              <w:szCs w:val="32"/>
              <w:lang w:val="zh-CN"/>
            </w:rPr>
            <w:t>目</w:t>
          </w:r>
          <w:r>
            <w:rPr>
              <w:rFonts w:hint="eastAsia" w:ascii="黑体" w:hAnsi="黑体" w:eastAsia="黑体" w:cs="黑体"/>
              <w:color w:val="auto"/>
              <w:sz w:val="32"/>
              <w:szCs w:val="32"/>
              <w:lang w:val="en-US" w:eastAsia="zh-CN"/>
            </w:rPr>
            <w:t xml:space="preserve">  </w:t>
          </w:r>
          <w:r>
            <w:rPr>
              <w:rFonts w:hint="eastAsia" w:ascii="黑体" w:hAnsi="黑体" w:eastAsia="黑体" w:cs="黑体"/>
              <w:color w:val="auto"/>
              <w:sz w:val="32"/>
              <w:szCs w:val="32"/>
              <w:lang w:val="zh-CN"/>
            </w:rPr>
            <w:t>录</w:t>
          </w:r>
        </w:p>
        <w:p>
          <w:pPr>
            <w:pStyle w:val="8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 w:val="0"/>
              <w:bCs w:val="0"/>
              <w:sz w:val="56"/>
              <w:szCs w:val="56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 w:val="0"/>
              <w:bCs w:val="0"/>
              <w:sz w:val="56"/>
              <w:szCs w:val="56"/>
            </w:rPr>
            <w:instrText xml:space="preserve"> TOC \o "1-3" \h \z \u </w:instrText>
          </w:r>
          <w:r>
            <w:rPr>
              <w:rFonts w:hint="eastAsia" w:asciiTheme="minorEastAsia" w:hAnsiTheme="minorEastAsia" w:eastAsiaTheme="minorEastAsia" w:cstheme="minorEastAsia"/>
              <w:b w:val="0"/>
              <w:bCs w:val="0"/>
              <w:sz w:val="56"/>
              <w:szCs w:val="56"/>
            </w:rPr>
            <w:fldChar w:fldCharType="separate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</w:rPr>
            <w:instrText xml:space="preserve"> HYPERLINK \l _Toc4105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</w:rPr>
            <w:fldChar w:fldCharType="separate"/>
          </w:r>
          <w:r>
            <w:rPr>
              <w:rFonts w:hint="eastAsia" w:ascii="仿宋_GB2312" w:eastAsia="仿宋_GB2312"/>
              <w:sz w:val="28"/>
              <w:szCs w:val="28"/>
            </w:rPr>
            <w:t>一、 登录和退出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_Toc4105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3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</w:rPr>
            <w:fldChar w:fldCharType="end"/>
          </w:r>
        </w:p>
        <w:p>
          <w:pPr>
            <w:pStyle w:val="8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_Toc11069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eastAsia" w:ascii="仿宋_GB2312" w:eastAsia="仿宋_GB2312"/>
              <w:sz w:val="28"/>
              <w:szCs w:val="28"/>
            </w:rPr>
            <w:t>二、 企业信息管理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_Toc11069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5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_Toc27395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1.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企业信息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_Toc27395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5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_Toc25280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2.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子用户查看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_Toc25280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6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_Toc21714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3.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操作日志查看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_Toc21714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6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8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_Toc14191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eastAsia" w:ascii="仿宋_GB2312" w:eastAsia="仿宋_GB2312"/>
              <w:sz w:val="28"/>
              <w:szCs w:val="28"/>
            </w:rPr>
            <w:t>三、 产品信息管理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_Toc14191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7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_Toc22285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1.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新增注册证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_Toc22285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7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_Toc3076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2.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注册证管理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_Toc3076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8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_Toc13082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3.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新增组件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_Toc13082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9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_Toc10134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4.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组件管理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_Toc10134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11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_Toc6614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5.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信息确认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_Toc6614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12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8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_Toc27946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eastAsia" w:ascii="仿宋_GB2312" w:eastAsia="仿宋_GB2312"/>
              <w:sz w:val="28"/>
              <w:szCs w:val="28"/>
            </w:rPr>
            <w:t>四、 资质图片管理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_Toc27946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13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  <w:rPr>
              <w:sz w:val="28"/>
              <w:szCs w:val="28"/>
            </w:rPr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_Toc26982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1.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图片上传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_Toc26982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13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pStyle w:val="4"/>
            <w:keepNext w:val="0"/>
            <w:keepLines w:val="0"/>
            <w:pageBreakBefore w:val="0"/>
            <w:widowControl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ind w:right="0" w:rightChars="0" w:firstLine="0" w:firstLineChars="0"/>
            <w:jc w:val="both"/>
            <w:textAlignment w:val="auto"/>
            <w:outlineLvl w:val="9"/>
          </w:pP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instrText xml:space="preserve"> HYPERLINK \l _Toc29881 </w:instrText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separate"/>
          </w:r>
          <w:r>
            <w:rPr>
              <w:rFonts w:hint="default" w:ascii="华文楷体" w:hAnsi="华文楷体" w:eastAsia="华文楷体"/>
              <w:kern w:val="0"/>
              <w:sz w:val="28"/>
              <w:szCs w:val="28"/>
            </w:rPr>
            <w:t xml:space="preserve">2. </w:t>
          </w:r>
          <w:r>
            <w:rPr>
              <w:rFonts w:hint="eastAsia" w:ascii="华文楷体" w:hAnsi="华文楷体" w:eastAsia="华文楷体"/>
              <w:kern w:val="0"/>
              <w:sz w:val="28"/>
              <w:szCs w:val="28"/>
            </w:rPr>
            <w:t>图片管理</w:t>
          </w:r>
          <w:r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 PAGEREF _Toc29881 </w:instrText>
          </w:r>
          <w:r>
            <w:rPr>
              <w:sz w:val="28"/>
              <w:szCs w:val="28"/>
            </w:rPr>
            <w:fldChar w:fldCharType="separate"/>
          </w:r>
          <w:r>
            <w:rPr>
              <w:sz w:val="28"/>
              <w:szCs w:val="28"/>
            </w:rPr>
            <w:t>14</w:t>
          </w:r>
          <w:r>
            <w:rPr>
              <w:sz w:val="28"/>
              <w:szCs w:val="28"/>
            </w:rPr>
            <w:fldChar w:fldCharType="end"/>
          </w:r>
          <w:r>
            <w:rPr>
              <w:rFonts w:hint="eastAsia" w:asciiTheme="minorEastAsia" w:hAnsiTheme="minorEastAsia" w:eastAsiaTheme="minorEastAsia" w:cstheme="minorEastAsia"/>
              <w:bCs w:val="0"/>
              <w:sz w:val="28"/>
              <w:szCs w:val="28"/>
              <w:lang w:val="zh-CN"/>
            </w:rPr>
            <w:fldChar w:fldCharType="end"/>
          </w:r>
        </w:p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 w:val="0"/>
            <w:snapToGrid w:val="0"/>
            <w:spacing w:line="560" w:lineRule="exact"/>
            <w:ind w:right="0" w:rightChars="0" w:firstLine="0" w:firstLineChars="0"/>
            <w:jc w:val="both"/>
            <w:textAlignment w:val="auto"/>
            <w:outlineLvl w:val="9"/>
          </w:pPr>
          <w:r>
            <w:rPr>
              <w:rFonts w:hint="eastAsia" w:asciiTheme="minorEastAsia" w:hAnsiTheme="minorEastAsia" w:eastAsiaTheme="minorEastAsia" w:cstheme="minorEastAsia"/>
              <w:bCs w:val="0"/>
              <w:szCs w:val="56"/>
              <w:lang w:val="zh-CN"/>
            </w:rPr>
            <w:fldChar w:fldCharType="end"/>
          </w:r>
        </w:p>
      </w:sdtContent>
    </w:sdt>
    <w:p>
      <w:r>
        <w:br w:type="page"/>
      </w:r>
    </w:p>
    <w:p>
      <w:pPr>
        <w:pStyle w:val="3"/>
        <w:numPr>
          <w:ilvl w:val="0"/>
          <w:numId w:val="1"/>
        </w:numPr>
        <w:ind w:left="0" w:leftChars="0" w:firstLine="643" w:firstLineChars="200"/>
        <w:rPr>
          <w:rFonts w:ascii="仿宋_GB2312" w:eastAsia="仿宋_GB2312"/>
        </w:rPr>
      </w:pPr>
      <w:bookmarkStart w:id="0" w:name="_Toc492395351"/>
      <w:bookmarkStart w:id="1" w:name="_Toc493691084"/>
      <w:bookmarkStart w:id="2" w:name="_Toc4105"/>
      <w:r>
        <w:rPr>
          <w:rFonts w:hint="eastAsia" w:ascii="仿宋_GB2312" w:eastAsia="仿宋_GB2312"/>
        </w:rPr>
        <w:t>登录</w:t>
      </w:r>
      <w:bookmarkEnd w:id="0"/>
      <w:bookmarkEnd w:id="1"/>
      <w:r>
        <w:rPr>
          <w:rFonts w:hint="eastAsia" w:ascii="仿宋_GB2312" w:eastAsia="仿宋_GB2312"/>
        </w:rPr>
        <w:t>和退出</w:t>
      </w:r>
      <w:bookmarkEnd w:id="2"/>
    </w:p>
    <w:p>
      <w:pPr>
        <w:widowControl/>
        <w:jc w:val="left"/>
      </w:pPr>
      <w:r>
        <w:rPr>
          <w:rFonts w:hint="eastAsia" w:ascii="仿宋_GB2312" w:hAnsi="宋体" w:eastAsia="仿宋_GB2312"/>
          <w:kern w:val="0"/>
          <w:sz w:val="32"/>
          <w:szCs w:val="32"/>
        </w:rPr>
        <w:t>在浏览器搜索栏输入 “</w:t>
      </w:r>
      <w:r>
        <w:fldChar w:fldCharType="begin"/>
      </w:r>
      <w:r>
        <w:instrText xml:space="preserve"> HYPERLINK "http://yycg.hnsggzy.com" </w:instrText>
      </w:r>
      <w:r>
        <w:fldChar w:fldCharType="separate"/>
      </w:r>
      <w:r>
        <w:rPr>
          <w:rStyle w:val="10"/>
          <w:rFonts w:hint="eastAsia" w:ascii="仿宋_GB2312" w:hAnsi="宋体" w:eastAsia="仿宋_GB2312"/>
          <w:kern w:val="0"/>
          <w:sz w:val="32"/>
          <w:szCs w:val="32"/>
        </w:rPr>
        <w:t>http://</w:t>
      </w:r>
      <w:r>
        <w:rPr>
          <w:rStyle w:val="10"/>
          <w:rFonts w:ascii="仿宋_GB2312" w:hAnsi="宋体" w:eastAsia="仿宋_GB2312"/>
          <w:kern w:val="0"/>
          <w:sz w:val="32"/>
          <w:szCs w:val="32"/>
        </w:rPr>
        <w:t>yycg</w:t>
      </w:r>
      <w:r>
        <w:rPr>
          <w:rStyle w:val="10"/>
          <w:rFonts w:hint="eastAsia" w:ascii="仿宋_GB2312" w:hAnsi="宋体" w:eastAsia="仿宋_GB2312"/>
          <w:kern w:val="0"/>
          <w:sz w:val="32"/>
          <w:szCs w:val="32"/>
        </w:rPr>
        <w:t>.hnsggzy.com</w:t>
      </w:r>
      <w:r>
        <w:rPr>
          <w:rStyle w:val="10"/>
          <w:rFonts w:hint="eastAsia" w:ascii="仿宋_GB2312" w:hAnsi="宋体" w:eastAsia="仿宋_GB2312"/>
          <w:kern w:val="0"/>
          <w:sz w:val="32"/>
          <w:szCs w:val="32"/>
        </w:rPr>
        <w:fldChar w:fldCharType="end"/>
      </w:r>
      <w:r>
        <w:rPr>
          <w:rFonts w:ascii="仿宋_GB2312" w:hAnsi="宋体" w:eastAsia="仿宋_GB2312"/>
          <w:kern w:val="0"/>
          <w:sz w:val="32"/>
          <w:szCs w:val="32"/>
        </w:rPr>
        <w:t>”</w:t>
      </w:r>
      <w:r>
        <w:rPr>
          <w:rFonts w:hint="eastAsia" w:ascii="仿宋_GB2312" w:hAnsi="宋体" w:eastAsia="仿宋_GB2312"/>
          <w:kern w:val="0"/>
          <w:sz w:val="32"/>
          <w:szCs w:val="32"/>
        </w:rPr>
        <w:t>，进入湖南省医药采购集中网门户网站，看到界面如图所示：</w:t>
      </w:r>
    </w:p>
    <w:p>
      <w:bookmarkStart w:id="16" w:name="_GoBack"/>
      <w:r>
        <w:drawing>
          <wp:inline distT="0" distB="0" distL="0" distR="0">
            <wp:extent cx="5274310" cy="256159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6"/>
    </w:p>
    <w:p>
      <w:pPr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点击左边登陆入口</w:t>
      </w:r>
      <w:r>
        <w:rPr>
          <w:rFonts w:ascii="仿宋_GB2312" w:hAnsi="宋体" w:eastAsia="仿宋_GB2312"/>
          <w:kern w:val="0"/>
          <w:sz w:val="32"/>
          <w:szCs w:val="32"/>
        </w:rPr>
        <w:t>“进入</w:t>
      </w:r>
      <w:r>
        <w:rPr>
          <w:rFonts w:hint="eastAsia" w:ascii="仿宋_GB2312" w:hAnsi="宋体" w:eastAsia="仿宋_GB2312"/>
          <w:kern w:val="0"/>
          <w:sz w:val="32"/>
          <w:szCs w:val="32"/>
        </w:rPr>
        <w:t>耗材</w:t>
      </w:r>
      <w:r>
        <w:rPr>
          <w:rFonts w:ascii="仿宋_GB2312" w:hAnsi="宋体" w:eastAsia="仿宋_GB2312"/>
          <w:kern w:val="0"/>
          <w:sz w:val="32"/>
          <w:szCs w:val="32"/>
        </w:rPr>
        <w:t>阳光挂网采购系统”分类采：如下图所示：</w:t>
      </w:r>
    </w:p>
    <w:p>
      <w:r>
        <w:drawing>
          <wp:inline distT="0" distB="0" distL="0" distR="0">
            <wp:extent cx="5274310" cy="2567305"/>
            <wp:effectExtent l="0" t="0" r="2540" b="4445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7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输入用户名（即账号）、密码、验证码，点击登录系统或</w:t>
      </w:r>
      <w:r>
        <w:rPr>
          <w:rFonts w:ascii="仿宋_GB2312" w:hAnsi="宋体" w:eastAsia="仿宋_GB2312"/>
          <w:kern w:val="0"/>
          <w:sz w:val="32"/>
          <w:szCs w:val="32"/>
        </w:rPr>
        <w:t>点击CA登录选项卡，插入CA</w:t>
      </w:r>
      <w:r>
        <w:rPr>
          <w:rFonts w:hint="eastAsia" w:ascii="仿宋_GB2312" w:hAnsi="宋体" w:eastAsia="仿宋_GB2312"/>
          <w:kern w:val="0"/>
          <w:sz w:val="32"/>
          <w:szCs w:val="32"/>
        </w:rPr>
        <w:t>数字</w:t>
      </w:r>
      <w:r>
        <w:rPr>
          <w:rFonts w:ascii="仿宋_GB2312" w:hAnsi="宋体" w:eastAsia="仿宋_GB2312"/>
          <w:kern w:val="0"/>
          <w:sz w:val="32"/>
          <w:szCs w:val="32"/>
        </w:rPr>
        <w:t>证书</w:t>
      </w:r>
      <w:r>
        <w:rPr>
          <w:rFonts w:hint="eastAsia" w:ascii="仿宋_GB2312" w:hAnsi="宋体" w:eastAsia="仿宋_GB2312"/>
          <w:kern w:val="0"/>
          <w:sz w:val="32"/>
          <w:szCs w:val="32"/>
        </w:rPr>
        <w:t>并</w:t>
      </w:r>
      <w:r>
        <w:rPr>
          <w:rFonts w:ascii="仿宋_GB2312" w:hAnsi="宋体" w:eastAsia="仿宋_GB2312"/>
          <w:kern w:val="0"/>
          <w:sz w:val="32"/>
          <w:szCs w:val="32"/>
        </w:rPr>
        <w:t>输入CA口令</w:t>
      </w:r>
      <w:r>
        <w:rPr>
          <w:rFonts w:hint="eastAsia" w:ascii="仿宋_GB2312" w:hAnsi="宋体" w:eastAsia="仿宋_GB2312"/>
          <w:kern w:val="0"/>
          <w:sz w:val="32"/>
          <w:szCs w:val="32"/>
        </w:rPr>
        <w:t>，</w:t>
      </w:r>
      <w:r>
        <w:rPr>
          <w:rFonts w:ascii="仿宋_GB2312" w:hAnsi="宋体" w:eastAsia="仿宋_GB2312"/>
          <w:kern w:val="0"/>
          <w:sz w:val="32"/>
          <w:szCs w:val="32"/>
        </w:rPr>
        <w:t>登录系统</w:t>
      </w:r>
      <w:r>
        <w:rPr>
          <w:rFonts w:hint="eastAsia" w:ascii="仿宋_GB2312" w:hAnsi="宋体" w:eastAsia="仿宋_GB2312"/>
          <w:kern w:val="0"/>
          <w:sz w:val="32"/>
          <w:szCs w:val="32"/>
        </w:rPr>
        <w:t>，普通</w:t>
      </w:r>
      <w:r>
        <w:rPr>
          <w:rFonts w:ascii="仿宋_GB2312" w:hAnsi="宋体" w:eastAsia="仿宋_GB2312"/>
          <w:kern w:val="0"/>
          <w:sz w:val="32"/>
          <w:szCs w:val="32"/>
        </w:rPr>
        <w:t>登录页面</w:t>
      </w:r>
      <w:r>
        <w:rPr>
          <w:rFonts w:hint="eastAsia" w:ascii="仿宋_GB2312" w:hAnsi="宋体" w:eastAsia="仿宋_GB2312"/>
          <w:kern w:val="0"/>
          <w:sz w:val="32"/>
          <w:szCs w:val="32"/>
        </w:rPr>
        <w:t>如图所示：</w:t>
      </w:r>
    </w:p>
    <w:p>
      <w:r>
        <w:drawing>
          <wp:inline distT="0" distB="0" distL="0" distR="0">
            <wp:extent cx="5274310" cy="2555875"/>
            <wp:effectExtent l="0" t="0" r="254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CA</w:t>
      </w:r>
      <w:r>
        <w:rPr>
          <w:rFonts w:ascii="仿宋_GB2312" w:hAnsi="宋体" w:eastAsia="仿宋_GB2312"/>
          <w:sz w:val="32"/>
          <w:szCs w:val="32"/>
        </w:rPr>
        <w:t>数字证书登录系统</w:t>
      </w:r>
      <w:r>
        <w:rPr>
          <w:rFonts w:hint="eastAsia" w:ascii="仿宋_GB2312" w:hAnsi="宋体" w:eastAsia="仿宋_GB2312"/>
          <w:sz w:val="32"/>
          <w:szCs w:val="32"/>
        </w:rPr>
        <w:t>，</w:t>
      </w:r>
      <w:r>
        <w:rPr>
          <w:rFonts w:ascii="仿宋_GB2312" w:hAnsi="宋体" w:eastAsia="仿宋_GB2312"/>
          <w:sz w:val="32"/>
          <w:szCs w:val="32"/>
        </w:rPr>
        <w:t>如图所示：</w:t>
      </w:r>
    </w:p>
    <w:p>
      <w:r>
        <w:drawing>
          <wp:inline distT="0" distB="0" distL="0" distR="0">
            <wp:extent cx="5274310" cy="2559685"/>
            <wp:effectExtent l="0" t="0" r="254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40" w:lineRule="exact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b/>
          <w:color w:val="FF0000"/>
          <w:sz w:val="30"/>
          <w:szCs w:val="30"/>
        </w:rPr>
        <w:t>注意：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①请注意妥善保管登录密码，确保不要遗失或泄露。</w:t>
      </w: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 xml:space="preserve">      ②系统支持I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E9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、IE10、I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E11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、火狐、谷歌浏览器，为了更好的使用CA数字证书，推荐使用IE9以上浏览器。</w:t>
      </w: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781050" cy="219075"/>
            <wp:effectExtent l="0" t="0" r="0" b="9525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进行企业账号的注册页面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如下图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：</w:t>
      </w:r>
    </w:p>
    <w:p>
      <w:pPr>
        <w:spacing w:line="440" w:lineRule="exact"/>
        <w:ind w:left="840" w:hanging="84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72390</wp:posOffset>
            </wp:positionH>
            <wp:positionV relativeFrom="paragraph">
              <wp:posOffset>43180</wp:posOffset>
            </wp:positionV>
            <wp:extent cx="5271770" cy="2192020"/>
            <wp:effectExtent l="0" t="0" r="5715" b="0"/>
            <wp:wrapNone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707" cy="2192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spacing w:line="440" w:lineRule="exact"/>
        <w:ind w:left="1200" w:hanging="1200" w:hangingChars="400"/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spacing w:line="440" w:lineRule="exact"/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spacing w:line="440" w:lineRule="exact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填写完成后点击注册弹出账号和密码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。注册成功后需要到中心领取CA进行信息填报。</w:t>
      </w:r>
    </w:p>
    <w:p>
      <w:pPr>
        <w:spacing w:line="440" w:lineRule="exact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输入正确的用户名、密码、验证码后，点击“登陆”如下图所示：</w:t>
      </w:r>
    </w:p>
    <w:p>
      <w:r>
        <w:drawing>
          <wp:inline distT="0" distB="0" distL="0" distR="0">
            <wp:extent cx="5274310" cy="2555875"/>
            <wp:effectExtent l="0" t="0" r="254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40" w:lineRule="exact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b/>
          <w:color w:val="FF0000"/>
          <w:sz w:val="30"/>
          <w:szCs w:val="30"/>
        </w:rPr>
        <w:t>注意：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①点击“基础数据库系统”进入耗材基础库系统</w:t>
      </w:r>
    </w:p>
    <w:p>
      <w:pPr>
        <w:spacing w:line="440" w:lineRule="exact"/>
        <w:ind w:firstLine="900" w:firstLineChars="300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②如果其他系统显示为“灰色”则代表此账号没有相应系统权限。</w:t>
      </w:r>
    </w:p>
    <w:p>
      <w:pPr>
        <w:spacing w:line="440" w:lineRule="exact"/>
        <w:ind w:firstLine="900" w:firstLineChars="300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点击右上角</w:t>
      </w:r>
      <w:r>
        <w:drawing>
          <wp:inline distT="0" distB="0" distL="114300" distR="114300">
            <wp:extent cx="600075" cy="219075"/>
            <wp:effectExtent l="0" t="0" r="9525" b="952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按钮即可安全退出系统</w:t>
      </w:r>
    </w:p>
    <w:p>
      <w:pPr>
        <w:pStyle w:val="3"/>
        <w:numPr>
          <w:ilvl w:val="0"/>
          <w:numId w:val="1"/>
        </w:numPr>
        <w:ind w:left="0" w:leftChars="0" w:firstLine="643" w:firstLineChars="200"/>
        <w:rPr>
          <w:rFonts w:hint="eastAsia" w:ascii="仿宋_GB2312" w:eastAsia="仿宋_GB2312"/>
        </w:rPr>
      </w:pPr>
      <w:bookmarkStart w:id="3" w:name="_Toc11069"/>
      <w:r>
        <w:rPr>
          <w:rFonts w:hint="eastAsia" w:ascii="仿宋_GB2312" w:eastAsia="仿宋_GB2312"/>
        </w:rPr>
        <w:t>企业信息管理</w:t>
      </w:r>
      <w:bookmarkEnd w:id="3"/>
    </w:p>
    <w:p>
      <w:pPr>
        <w:pStyle w:val="18"/>
        <w:numPr>
          <w:ilvl w:val="0"/>
          <w:numId w:val="2"/>
        </w:numPr>
        <w:spacing w:line="440" w:lineRule="exact"/>
        <w:ind w:firstLineChars="0"/>
        <w:outlineLvl w:val="2"/>
        <w:rPr>
          <w:rFonts w:hint="eastAsia" w:ascii="华文楷体" w:hAnsi="华文楷体" w:eastAsia="华文楷体"/>
          <w:color w:val="000000"/>
          <w:kern w:val="0"/>
          <w:sz w:val="30"/>
          <w:szCs w:val="30"/>
        </w:rPr>
      </w:pPr>
      <w:bookmarkStart w:id="4" w:name="_Toc27395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企业信息</w:t>
      </w:r>
      <w:bookmarkEnd w:id="4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点击“企业信息”进入企业信息维护页面如下图所示：</w:t>
      </w:r>
    </w:p>
    <w:p>
      <w:r>
        <w:drawing>
          <wp:inline distT="0" distB="0" distL="0" distR="0">
            <wp:extent cx="5274310" cy="255968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（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其中标红心</w:t>
      </w:r>
      <w:r>
        <w:rPr>
          <w:rStyle w:val="17"/>
          <w:rFonts w:hint="eastAsia"/>
          <w:color w:val="FF0000"/>
          <w:sz w:val="18"/>
          <w:szCs w:val="18"/>
          <w:shd w:val="clear" w:color="auto" w:fill="FFFFFF"/>
        </w:rPr>
        <w:t>*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的为必填项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）填写完相应的信息后，如果是三证合一就勾选三证合一，如没有勾选否。如图：</w:t>
      </w:r>
    </w:p>
    <w:p>
      <w:pP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3495"/>
            <wp:effectExtent l="0" t="0" r="2540" b="825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600075" cy="2381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可以进行企业信息的保存，点击</w:t>
      </w:r>
      <w:r>
        <w:drawing>
          <wp:inline distT="0" distB="0" distL="0" distR="0">
            <wp:extent cx="600075" cy="2571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将企业信息提交到中心进行审核。</w:t>
      </w:r>
    </w:p>
    <w:p>
      <w:pPr>
        <w:pStyle w:val="18"/>
        <w:numPr>
          <w:ilvl w:val="0"/>
          <w:numId w:val="2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5" w:name="_Toc25280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子用户查看</w:t>
      </w:r>
      <w:bookmarkEnd w:id="5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点击子用户查看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查看当前用户的子用户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如下图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55875"/>
            <wp:effectExtent l="0" t="0" r="2540" b="0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子用户的新增由中心设置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pStyle w:val="18"/>
        <w:numPr>
          <w:ilvl w:val="0"/>
          <w:numId w:val="2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6" w:name="_Toc21714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操作日志查看</w:t>
      </w:r>
      <w:bookmarkEnd w:id="6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点击操作日志查看，如下图所示。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48255"/>
            <wp:effectExtent l="0" t="0" r="2540" b="4445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8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0"/>
          <w:numId w:val="1"/>
        </w:numPr>
        <w:ind w:left="0" w:leftChars="0" w:firstLine="643" w:firstLineChars="200"/>
        <w:rPr>
          <w:rFonts w:hint="eastAsia" w:ascii="仿宋_GB2312" w:eastAsia="仿宋_GB2312"/>
        </w:rPr>
      </w:pPr>
      <w:bookmarkStart w:id="7" w:name="_Toc14191"/>
      <w:r>
        <w:rPr>
          <w:rFonts w:hint="eastAsia" w:ascii="仿宋_GB2312" w:eastAsia="仿宋_GB2312"/>
        </w:rPr>
        <w:t>产品信息管理</w:t>
      </w:r>
      <w:bookmarkEnd w:id="7"/>
    </w:p>
    <w:p>
      <w:pPr>
        <w:pStyle w:val="18"/>
        <w:numPr>
          <w:ilvl w:val="0"/>
          <w:numId w:val="3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8" w:name="_Toc22285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新增注册证</w:t>
      </w:r>
      <w:bookmarkEnd w:id="8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点击新增注册证进入如下页面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71750"/>
            <wp:effectExtent l="0" t="0" r="254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选择需要新增的大类后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进入下图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5400"/>
            <wp:effectExtent l="0" t="0" r="2540" b="635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600075" cy="238125"/>
            <wp:effectExtent l="0" t="0" r="9525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可以进行企业信息的保存，点击</w:t>
      </w:r>
      <w:r>
        <w:drawing>
          <wp:inline distT="0" distB="0" distL="0" distR="0">
            <wp:extent cx="600075" cy="257175"/>
            <wp:effectExtent l="0" t="0" r="9525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将注册证信息提交到中心进行审核。</w:t>
      </w:r>
    </w:p>
    <w:p>
      <w:pPr>
        <w:pStyle w:val="18"/>
        <w:numPr>
          <w:ilvl w:val="0"/>
          <w:numId w:val="3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9" w:name="_Toc3076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注册证管理</w:t>
      </w:r>
      <w:bookmarkEnd w:id="9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点击注册证管理进入如下页面：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1590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在新增注册证时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点击保存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，再此处可进行送审操作，也可进行删除操作，勾选需要操作的注册证即可进行以上操作，已送审的注册证不能进行删除和送审操作。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送审过后出现如下图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52065"/>
            <wp:effectExtent l="0" t="0" r="2540" b="63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2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219075" cy="200025"/>
            <wp:effectExtent l="0" t="0" r="9525" b="952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进行信息的补充和完善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。然后点击送审再次审核。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点击注册证编号可进行注册证内容的查看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73655"/>
            <wp:effectExtent l="0" t="0" r="254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8"/>
        <w:numPr>
          <w:ilvl w:val="0"/>
          <w:numId w:val="3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10" w:name="_Toc13082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新增组件</w:t>
      </w:r>
      <w:bookmarkEnd w:id="10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点击新增组件后进入选择大类的模式。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48255"/>
            <wp:effectExtent l="0" t="0" r="2540" b="4445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8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选择大类后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首先选择注册证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5400"/>
            <wp:effectExtent l="0" t="0" r="2540" b="635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点击弹出注册证的选择页面。双击所需注册证进行选择。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3495"/>
            <wp:effectExtent l="0" t="0" r="2540" b="825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如果没有注册证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876300" cy="24765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进行注册证的新增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第二步填写组件的基本信息，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填写完成后点击</w:t>
      </w:r>
      <w:r>
        <w:drawing>
          <wp:inline distT="0" distB="0" distL="0" distR="0">
            <wp:extent cx="781050" cy="20955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进行组件信息的保存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第三步拆分组件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可以进行手动添加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或者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Excel批量导入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。点击</w:t>
      </w:r>
      <w:r>
        <w:drawing>
          <wp:inline distT="0" distB="0" distL="0" distR="0">
            <wp:extent cx="600075" cy="257175"/>
            <wp:effectExtent l="0" t="0" r="9525" b="952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将组件信息提交到中心进行审核。</w:t>
      </w:r>
    </w:p>
    <w:p>
      <w:pPr>
        <w:pStyle w:val="18"/>
        <w:numPr>
          <w:ilvl w:val="0"/>
          <w:numId w:val="3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11" w:name="_Toc10134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组件管理</w:t>
      </w:r>
      <w:bookmarkEnd w:id="11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点击组件管理，如下图：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38730"/>
            <wp:effectExtent l="0" t="0" r="254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209550" cy="190500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手动添加拆分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如下图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3475355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75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200025" cy="171450"/>
            <wp:effectExtent l="0" t="0" r="952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进行批量导入的功能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如下图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3495"/>
            <wp:effectExtent l="0" t="0" r="2540" b="8255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219075" cy="200025"/>
            <wp:effectExtent l="0" t="0" r="9525" b="952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进入编辑页面进行编辑和送审。</w:t>
      </w:r>
    </w:p>
    <w:p>
      <w:pPr>
        <w:pStyle w:val="18"/>
        <w:numPr>
          <w:ilvl w:val="0"/>
          <w:numId w:val="3"/>
        </w:numPr>
        <w:spacing w:line="440" w:lineRule="exact"/>
        <w:ind w:firstLineChars="0"/>
        <w:outlineLvl w:val="2"/>
        <w:rPr>
          <w:rFonts w:ascii="华文楷体" w:hAnsi="华文楷体" w:eastAsia="华文楷体"/>
          <w:color w:val="000000"/>
          <w:kern w:val="0"/>
          <w:sz w:val="30"/>
          <w:szCs w:val="30"/>
        </w:rPr>
      </w:pPr>
      <w:bookmarkStart w:id="12" w:name="_Toc6614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信息确认</w:t>
      </w:r>
      <w:bookmarkEnd w:id="12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点击信息确认后如下图：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55875"/>
            <wp:effectExtent l="0" t="0" r="254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只有企业复审通过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注册证复审通过组件复审通过的组件信息才能被确认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勾选需要确认的信息点击</w:t>
      </w:r>
      <w:r>
        <w:drawing>
          <wp:inline distT="0" distB="0" distL="0" distR="0">
            <wp:extent cx="771525" cy="247650"/>
            <wp:effectExtent l="0" t="0" r="9525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进行信息的确认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75560"/>
            <wp:effectExtent l="0" t="0" r="2540" b="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5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点击维护最低价弹出如下窗体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。可进行最低价的维护。对无陕西限价产品进行维护。无最低价组件，需要维护最低价后才能进行信息确认。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3629025"/>
            <wp:effectExtent l="0" t="0" r="2540" b="9525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2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0"/>
          <w:numId w:val="1"/>
        </w:numPr>
        <w:ind w:left="0" w:leftChars="0" w:firstLine="643" w:firstLineChars="200"/>
        <w:rPr>
          <w:rFonts w:hint="eastAsia" w:ascii="仿宋_GB2312" w:eastAsia="仿宋_GB2312"/>
        </w:rPr>
      </w:pPr>
      <w:bookmarkStart w:id="13" w:name="_Toc27946"/>
      <w:r>
        <w:rPr>
          <w:rFonts w:hint="eastAsia" w:ascii="仿宋_GB2312" w:eastAsia="仿宋_GB2312"/>
        </w:rPr>
        <w:t>资质图片管理</w:t>
      </w:r>
      <w:bookmarkEnd w:id="13"/>
    </w:p>
    <w:p>
      <w:pPr>
        <w:pStyle w:val="18"/>
        <w:numPr>
          <w:ilvl w:val="0"/>
          <w:numId w:val="4"/>
        </w:numPr>
        <w:spacing w:line="440" w:lineRule="exact"/>
        <w:ind w:firstLineChars="0"/>
        <w:outlineLvl w:val="2"/>
        <w:rPr>
          <w:rFonts w:hint="eastAsia" w:ascii="华文楷体" w:hAnsi="华文楷体" w:eastAsia="华文楷体"/>
          <w:color w:val="000000"/>
          <w:kern w:val="0"/>
          <w:sz w:val="30"/>
          <w:szCs w:val="30"/>
        </w:rPr>
      </w:pPr>
      <w:bookmarkStart w:id="14" w:name="_Toc26982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图片上传</w:t>
      </w:r>
      <w:bookmarkEnd w:id="14"/>
    </w:p>
    <w:p>
      <w:pPr>
        <w:rPr>
          <w:rFonts w:hint="eastAsia" w:ascii="华文楷体" w:hAnsi="华文楷体" w:eastAsia="华文楷体"/>
          <w:color w:val="FF0000"/>
          <w:kern w:val="0"/>
          <w:sz w:val="30"/>
          <w:szCs w:val="30"/>
          <w:lang w:val="en-US" w:eastAsia="zh-CN"/>
        </w:rPr>
      </w:pPr>
      <w:r>
        <w:rPr>
          <w:rFonts w:hint="eastAsia" w:ascii="华文楷体" w:hAnsi="华文楷体" w:eastAsia="华文楷体"/>
          <w:color w:val="FF0000"/>
          <w:kern w:val="0"/>
          <w:sz w:val="30"/>
          <w:szCs w:val="30"/>
          <w:lang w:val="en-US" w:eastAsia="zh-CN"/>
        </w:rPr>
        <w:t>注意：上传的图片的需要，签章后进行上传。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点击信息确认后如下图：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48255"/>
            <wp:effectExtent l="0" t="0" r="2540" b="4445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8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先选择左边的文件夹，然后点击</w:t>
      </w:r>
      <w:r>
        <w:drawing>
          <wp:inline distT="0" distB="0" distL="0" distR="0">
            <wp:extent cx="942975" cy="285750"/>
            <wp:effectExtent l="0" t="0" r="9525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，如下图所示：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50160"/>
            <wp:effectExtent l="0" t="0" r="2540" b="254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0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华文楷体" w:hAnsi="华文楷体" w:eastAsia="华文楷体"/>
          <w:b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</w:t>
      </w:r>
      <w:r>
        <w:drawing>
          <wp:inline distT="0" distB="0" distL="0" distR="0">
            <wp:extent cx="733425" cy="285750"/>
            <wp:effectExtent l="0" t="0" r="9525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进行图片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的上传。所上传的图片需要先进行签章，未签章的图片将作为无效图片。</w:t>
      </w:r>
      <w:r>
        <w:rPr>
          <w:rFonts w:hint="eastAsia" w:ascii="华文楷体" w:hAnsi="华文楷体" w:eastAsia="华文楷体"/>
          <w:b/>
          <w:color w:val="000000"/>
          <w:kern w:val="0"/>
          <w:sz w:val="30"/>
          <w:szCs w:val="30"/>
        </w:rPr>
        <w:t>注意：图片大小不能大于500kb，</w:t>
      </w:r>
      <w:r>
        <w:rPr>
          <w:rFonts w:ascii="华文楷体" w:hAnsi="华文楷体" w:eastAsia="华文楷体"/>
          <w:b/>
          <w:color w:val="000000"/>
          <w:kern w:val="0"/>
          <w:sz w:val="30"/>
          <w:szCs w:val="30"/>
        </w:rPr>
        <w:t>且图片格式为</w:t>
      </w:r>
      <w:r>
        <w:rPr>
          <w:rFonts w:hint="eastAsia" w:ascii="华文楷体" w:hAnsi="华文楷体" w:eastAsia="华文楷体"/>
          <w:b/>
          <w:color w:val="000000"/>
          <w:kern w:val="0"/>
          <w:sz w:val="30"/>
          <w:szCs w:val="30"/>
        </w:rPr>
        <w:t>.jpg。</w:t>
      </w:r>
    </w:p>
    <w:p>
      <w:pPr>
        <w:pStyle w:val="18"/>
        <w:numPr>
          <w:ilvl w:val="0"/>
          <w:numId w:val="4"/>
        </w:numPr>
        <w:spacing w:line="440" w:lineRule="exact"/>
        <w:ind w:firstLineChars="0"/>
        <w:outlineLvl w:val="2"/>
        <w:rPr>
          <w:rFonts w:hint="eastAsia" w:ascii="华文楷体" w:hAnsi="华文楷体" w:eastAsia="华文楷体"/>
          <w:color w:val="000000"/>
          <w:kern w:val="0"/>
          <w:sz w:val="30"/>
          <w:szCs w:val="30"/>
        </w:rPr>
      </w:pPr>
      <w:bookmarkStart w:id="15" w:name="_Toc29881"/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图片管理</w:t>
      </w:r>
      <w:bookmarkEnd w:id="15"/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点击图片管理后如下图：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55875"/>
            <wp:effectExtent l="0" t="0" r="254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rPr>
          <w:rFonts w:ascii="华文楷体" w:hAnsi="华文楷体" w:eastAsia="华文楷体"/>
          <w:color w:val="000000"/>
          <w:kern w:val="0"/>
          <w:sz w:val="30"/>
          <w:szCs w:val="30"/>
        </w:rPr>
        <w:t>点击已存在图片的文件夹可进行图片的删除和编辑图片名称</w:t>
      </w:r>
      <w:r>
        <w:rPr>
          <w:rFonts w:hint="eastAsia" w:ascii="华文楷体" w:hAnsi="华文楷体" w:eastAsia="华文楷体"/>
          <w:color w:val="000000"/>
          <w:kern w:val="0"/>
          <w:sz w:val="30"/>
          <w:szCs w:val="30"/>
        </w:rPr>
        <w:t>。</w:t>
      </w:r>
    </w:p>
    <w:p>
      <w:pPr>
        <w:rPr>
          <w:rFonts w:ascii="华文楷体" w:hAnsi="华文楷体" w:eastAsia="华文楷体"/>
          <w:color w:val="000000"/>
          <w:kern w:val="0"/>
          <w:sz w:val="30"/>
          <w:szCs w:val="30"/>
        </w:rPr>
      </w:pPr>
      <w:r>
        <w:drawing>
          <wp:inline distT="0" distB="0" distL="0" distR="0">
            <wp:extent cx="5274310" cy="2563495"/>
            <wp:effectExtent l="0" t="0" r="2540" b="8255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A7245E"/>
    <w:multiLevelType w:val="multilevel"/>
    <w:tmpl w:val="5AA7245E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AA72478"/>
    <w:multiLevelType w:val="multilevel"/>
    <w:tmpl w:val="5AA72478"/>
    <w:lvl w:ilvl="0" w:tentative="0">
      <w:start w:val="1"/>
      <w:numFmt w:val="decimal"/>
      <w:lvlText w:val="%1."/>
      <w:lvlJc w:val="left"/>
      <w:pPr>
        <w:ind w:left="1020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ind w:left="14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7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1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5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80" w:hanging="420"/>
      </w:pPr>
      <w:rPr>
        <w:rFonts w:hint="default" w:ascii="Wingdings" w:hAnsi="Wingdings"/>
      </w:rPr>
    </w:lvl>
  </w:abstractNum>
  <w:abstractNum w:abstractNumId="2">
    <w:nsid w:val="5AA7256A"/>
    <w:multiLevelType w:val="singleLevel"/>
    <w:tmpl w:val="5AA7256A"/>
    <w:lvl w:ilvl="0" w:tentative="0">
      <w:start w:val="1"/>
      <w:numFmt w:val="chineseCounting"/>
      <w:suff w:val="nothing"/>
      <w:lvlText w:val="%1、"/>
      <w:lvlJc w:val="left"/>
      <w:pPr>
        <w:ind w:left="0" w:leftChars="0" w:firstLine="420" w:firstLineChars="0"/>
      </w:pPr>
      <w:rPr>
        <w:rFonts w:hint="eastAsia"/>
      </w:rPr>
    </w:lvl>
  </w:abstractNum>
  <w:abstractNum w:abstractNumId="3">
    <w:nsid w:val="7EDF0B1D"/>
    <w:multiLevelType w:val="multilevel"/>
    <w:tmpl w:val="7EDF0B1D"/>
    <w:lvl w:ilvl="0" w:tentative="0">
      <w:start w:val="1"/>
      <w:numFmt w:val="decimal"/>
      <w:lvlText w:val="%1."/>
      <w:lvlJc w:val="left"/>
      <w:pPr>
        <w:ind w:left="1020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ind w:left="14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7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1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5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80" w:hanging="420"/>
      </w:pPr>
      <w:rPr>
        <w:rFonts w:hint="default" w:ascii="Wingdings" w:hAnsi="Wingdings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390"/>
    <w:rsid w:val="000168FC"/>
    <w:rsid w:val="000218B8"/>
    <w:rsid w:val="00036783"/>
    <w:rsid w:val="000805BD"/>
    <w:rsid w:val="0014460B"/>
    <w:rsid w:val="00155959"/>
    <w:rsid w:val="001652E7"/>
    <w:rsid w:val="001745C7"/>
    <w:rsid w:val="00231640"/>
    <w:rsid w:val="002A7166"/>
    <w:rsid w:val="002B029B"/>
    <w:rsid w:val="00370865"/>
    <w:rsid w:val="00390A7B"/>
    <w:rsid w:val="003A5813"/>
    <w:rsid w:val="003B2D3D"/>
    <w:rsid w:val="003D7A51"/>
    <w:rsid w:val="004B7127"/>
    <w:rsid w:val="005A1D70"/>
    <w:rsid w:val="00610BA3"/>
    <w:rsid w:val="006175FE"/>
    <w:rsid w:val="00623E80"/>
    <w:rsid w:val="00664955"/>
    <w:rsid w:val="006A0EAF"/>
    <w:rsid w:val="006F5673"/>
    <w:rsid w:val="00712B42"/>
    <w:rsid w:val="0073717B"/>
    <w:rsid w:val="00807B36"/>
    <w:rsid w:val="00815229"/>
    <w:rsid w:val="00834E27"/>
    <w:rsid w:val="00844EDE"/>
    <w:rsid w:val="008A1B3A"/>
    <w:rsid w:val="008C2DBC"/>
    <w:rsid w:val="008F157B"/>
    <w:rsid w:val="009859B9"/>
    <w:rsid w:val="009B6D18"/>
    <w:rsid w:val="009C5C17"/>
    <w:rsid w:val="009D6689"/>
    <w:rsid w:val="009E6BFA"/>
    <w:rsid w:val="00A65B20"/>
    <w:rsid w:val="00B64BC9"/>
    <w:rsid w:val="00B86B1C"/>
    <w:rsid w:val="00B90221"/>
    <w:rsid w:val="00BF7280"/>
    <w:rsid w:val="00C11B74"/>
    <w:rsid w:val="00C24A16"/>
    <w:rsid w:val="00C36F1C"/>
    <w:rsid w:val="00C42FED"/>
    <w:rsid w:val="00C55D9F"/>
    <w:rsid w:val="00CA452E"/>
    <w:rsid w:val="00CC4B18"/>
    <w:rsid w:val="00CF6390"/>
    <w:rsid w:val="00E1103F"/>
    <w:rsid w:val="00ED363D"/>
    <w:rsid w:val="00EF2CDC"/>
    <w:rsid w:val="00F1115A"/>
    <w:rsid w:val="00F41D5F"/>
    <w:rsid w:val="00F718FE"/>
    <w:rsid w:val="00FD14D6"/>
    <w:rsid w:val="0CE77E94"/>
    <w:rsid w:val="299E3F31"/>
    <w:rsid w:val="29C901D3"/>
    <w:rsid w:val="2D5054F4"/>
    <w:rsid w:val="30A5102D"/>
    <w:rsid w:val="56F425E1"/>
    <w:rsid w:val="5778026B"/>
    <w:rsid w:val="5B0E6B4D"/>
    <w:rsid w:val="60625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6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9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c 3"/>
    <w:basedOn w:val="1"/>
    <w:next w:val="1"/>
    <w:qFormat/>
    <w:uiPriority w:val="39"/>
    <w:pPr>
      <w:ind w:left="840" w:leftChars="400"/>
    </w:p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asciiTheme="minorHAnsi" w:hAnsiTheme="minorHAnsi" w:eastAsiaTheme="minorEastAsia"/>
      <w:kern w:val="0"/>
      <w:sz w:val="22"/>
    </w:rPr>
  </w:style>
  <w:style w:type="paragraph" w:styleId="8">
    <w:name w:val="toc 2"/>
    <w:basedOn w:val="1"/>
    <w:next w:val="1"/>
    <w:qFormat/>
    <w:uiPriority w:val="39"/>
    <w:pPr>
      <w:ind w:left="420" w:leftChars="200"/>
    </w:pPr>
  </w:style>
  <w:style w:type="character" w:styleId="10">
    <w:name w:val="Hyperlink"/>
    <w:qFormat/>
    <w:uiPriority w:val="99"/>
    <w:rPr>
      <w:color w:val="0000FF"/>
      <w:u w:val="single"/>
    </w:rPr>
  </w:style>
  <w:style w:type="character" w:customStyle="1" w:styleId="12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paragraph" w:customStyle="1" w:styleId="14">
    <w:name w:val="TOC 标题1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  <w:style w:type="character" w:customStyle="1" w:styleId="15">
    <w:name w:val="标题 1 Char"/>
    <w:basedOn w:val="9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6">
    <w:name w:val="标题 2 Char"/>
    <w:basedOn w:val="9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7">
    <w:name w:val="form-control-feedback"/>
    <w:basedOn w:val="9"/>
    <w:qFormat/>
    <w:uiPriority w:val="0"/>
  </w:style>
  <w:style w:type="paragraph" w:customStyle="1" w:styleId="18">
    <w:name w:val="List Paragraph"/>
    <w:basedOn w:val="1"/>
    <w:qFormat/>
    <w:uiPriority w:val="34"/>
    <w:pPr>
      <w:ind w:firstLine="420" w:firstLineChars="200"/>
    </w:pPr>
  </w:style>
  <w:style w:type="paragraph" w:customStyle="1" w:styleId="19">
    <w:name w:val="TOC 标题2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7" Type="http://schemas.openxmlformats.org/officeDocument/2006/relationships/fontTable" Target="fontTable.xml"/><Relationship Id="rId46" Type="http://schemas.openxmlformats.org/officeDocument/2006/relationships/numbering" Target="numbering.xml"/><Relationship Id="rId45" Type="http://schemas.openxmlformats.org/officeDocument/2006/relationships/customXml" Target="../customXml/item1.xml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389</Words>
  <Characters>2219</Characters>
  <Lines>18</Lines>
  <Paragraphs>5</Paragraphs>
  <ScaleCrop>false</ScaleCrop>
  <LinksUpToDate>false</LinksUpToDate>
  <CharactersWithSpaces>2603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2018-03-06T02:21:00Z</dcterms:created>
  <dc:creator>tanweiping</dc:creator>
  <cp:lastModifiedBy>刘怡君</cp:lastModifiedBy>
  <dcterms:modified xsi:type="dcterms:W3CDTF">2018-03-20T00:39:40Z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