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cs="黑体"/>
          <w:sz w:val="32"/>
          <w:szCs w:val="32"/>
        </w:rPr>
      </w:pPr>
      <w:bookmarkStart w:id="0" w:name="_GoBack"/>
      <w:bookmarkEnd w:id="0"/>
      <w:r>
        <w:rPr>
          <w:rFonts w:hint="eastAsia" w:ascii="黑体" w:hAnsi="黑体" w:eastAsia="黑体" w:cs="黑体"/>
          <w:sz w:val="32"/>
          <w:szCs w:val="32"/>
        </w:rPr>
        <w:t>附件1</w:t>
      </w:r>
    </w:p>
    <w:p>
      <w:pPr>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2020年医药招采业务咨询接待日安排表</w:t>
      </w:r>
    </w:p>
    <w:p>
      <w:pPr>
        <w:spacing w:line="240" w:lineRule="exact"/>
        <w:jc w:val="center"/>
        <w:rPr>
          <w:rFonts w:ascii="方正小标宋简体" w:hAnsi="方正小标宋简体" w:eastAsia="方正小标宋简体" w:cs="方正小标宋简体"/>
          <w:sz w:val="44"/>
          <w:szCs w:val="44"/>
        </w:rPr>
      </w:pPr>
    </w:p>
    <w:p>
      <w:pPr>
        <w:adjustRightInd w:val="0"/>
        <w:snapToGrid w:val="0"/>
        <w:rPr>
          <w:rFonts w:ascii="宋体" w:hAnsi="宋体" w:cs="宋体"/>
          <w:sz w:val="24"/>
          <w:szCs w:val="24"/>
        </w:rPr>
      </w:pPr>
      <w:r>
        <w:rPr>
          <w:rFonts w:hint="eastAsia" w:ascii="宋体" w:hAnsi="宋体" w:cs="宋体"/>
          <w:b/>
          <w:bCs/>
          <w:sz w:val="24"/>
          <w:szCs w:val="24"/>
        </w:rPr>
        <w:t>地点：</w:t>
      </w:r>
      <w:r>
        <w:rPr>
          <w:rFonts w:hint="eastAsia" w:ascii="宋体" w:hAnsi="宋体" w:cs="宋体"/>
          <w:sz w:val="24"/>
          <w:szCs w:val="24"/>
        </w:rPr>
        <w:t>省医保局综合楼416会议室/省交易中心三楼电子竞价室</w:t>
      </w:r>
    </w:p>
    <w:p>
      <w:pPr>
        <w:adjustRightInd w:val="0"/>
        <w:snapToGrid w:val="0"/>
        <w:spacing w:line="40" w:lineRule="exact"/>
        <w:rPr>
          <w:rFonts w:ascii="宋体" w:hAnsi="宋体" w:cs="宋体"/>
          <w:sz w:val="24"/>
          <w:szCs w:val="24"/>
        </w:rPr>
      </w:pPr>
    </w:p>
    <w:tbl>
      <w:tblPr>
        <w:tblStyle w:val="6"/>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94"/>
        <w:gridCol w:w="3114"/>
        <w:gridCol w:w="31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6" w:hRule="atLeast"/>
          <w:tblHeader/>
          <w:jc w:val="center"/>
        </w:trPr>
        <w:tc>
          <w:tcPr>
            <w:tcW w:w="2294" w:type="dxa"/>
            <w:vAlign w:val="center"/>
          </w:tcPr>
          <w:p>
            <w:pPr>
              <w:adjustRightInd w:val="0"/>
              <w:snapToGrid w:val="0"/>
              <w:jc w:val="center"/>
              <w:rPr>
                <w:rFonts w:ascii="宋体" w:hAnsi="宋体" w:cs="宋体"/>
                <w:b/>
                <w:bCs/>
                <w:sz w:val="24"/>
                <w:szCs w:val="24"/>
              </w:rPr>
            </w:pPr>
            <w:r>
              <w:rPr>
                <w:rFonts w:hint="eastAsia" w:ascii="宋体" w:hAnsi="宋体" w:cs="宋体"/>
                <w:b/>
                <w:bCs/>
                <w:sz w:val="24"/>
                <w:szCs w:val="24"/>
              </w:rPr>
              <w:t>时  间</w:t>
            </w:r>
          </w:p>
        </w:tc>
        <w:tc>
          <w:tcPr>
            <w:tcW w:w="3114" w:type="dxa"/>
            <w:vAlign w:val="center"/>
          </w:tcPr>
          <w:p>
            <w:pPr>
              <w:adjustRightInd w:val="0"/>
              <w:snapToGrid w:val="0"/>
              <w:jc w:val="center"/>
              <w:rPr>
                <w:rFonts w:ascii="宋体" w:hAnsi="宋体" w:cs="宋体"/>
                <w:b/>
                <w:bCs/>
                <w:sz w:val="24"/>
                <w:szCs w:val="24"/>
              </w:rPr>
            </w:pPr>
            <w:r>
              <w:rPr>
                <w:rFonts w:hint="eastAsia" w:ascii="宋体" w:hAnsi="宋体" w:cs="宋体"/>
                <w:b/>
                <w:bCs/>
                <w:sz w:val="24"/>
                <w:szCs w:val="24"/>
              </w:rPr>
              <w:t>省医保局接待人员</w:t>
            </w:r>
          </w:p>
        </w:tc>
        <w:tc>
          <w:tcPr>
            <w:tcW w:w="3114" w:type="dxa"/>
            <w:vAlign w:val="center"/>
          </w:tcPr>
          <w:p>
            <w:pPr>
              <w:adjustRightInd w:val="0"/>
              <w:snapToGrid w:val="0"/>
              <w:jc w:val="center"/>
              <w:rPr>
                <w:rFonts w:ascii="宋体" w:hAnsi="宋体" w:cs="宋体"/>
                <w:b/>
                <w:bCs/>
                <w:sz w:val="24"/>
                <w:szCs w:val="24"/>
              </w:rPr>
            </w:pPr>
            <w:r>
              <w:rPr>
                <w:rFonts w:hint="eastAsia" w:ascii="宋体" w:hAnsi="宋体" w:cs="宋体"/>
                <w:b/>
                <w:bCs/>
                <w:sz w:val="24"/>
                <w:szCs w:val="24"/>
              </w:rPr>
              <w:t>省交易中心接待人员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2294" w:type="dxa"/>
            <w:vAlign w:val="center"/>
          </w:tcPr>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5月15日</w:t>
            </w:r>
          </w:p>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14：30-17：30</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李慧萍、田益明</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胡茹珊、邓胜平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2294" w:type="dxa"/>
            <w:vAlign w:val="center"/>
          </w:tcPr>
          <w:p>
            <w:pPr>
              <w:widowControl/>
              <w:tabs>
                <w:tab w:val="center" w:pos="1304"/>
                <w:tab w:val="right" w:pos="2488"/>
              </w:tabs>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5月29日</w:t>
            </w:r>
          </w:p>
          <w:p>
            <w:pPr>
              <w:widowControl/>
              <w:tabs>
                <w:tab w:val="center" w:pos="1304"/>
                <w:tab w:val="right" w:pos="2488"/>
              </w:tabs>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14：30-17：30</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周阳辉、田益明</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黄  怡、单方剑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2294" w:type="dxa"/>
            <w:vAlign w:val="center"/>
          </w:tcPr>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6月12日</w:t>
            </w:r>
          </w:p>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14：30-17：30</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李慧萍、罗  琳</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王朝晖、刘怡君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2294" w:type="dxa"/>
            <w:vAlign w:val="center"/>
          </w:tcPr>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6月28日</w:t>
            </w:r>
          </w:p>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14：30-17：30</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周阳辉、李  展</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胡茹珊、邓胜平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2294" w:type="dxa"/>
            <w:vAlign w:val="center"/>
          </w:tcPr>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7月17日</w:t>
            </w:r>
          </w:p>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15：00-18：00</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李慧萍、田益明</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黄  怡、单方剑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2294" w:type="dxa"/>
            <w:vAlign w:val="center"/>
          </w:tcPr>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7月31日</w:t>
            </w:r>
          </w:p>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15：00-18：00</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周阳辉、罗  琳</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王朝晖、刘怡君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2294" w:type="dxa"/>
            <w:vAlign w:val="center"/>
          </w:tcPr>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8月14日</w:t>
            </w:r>
          </w:p>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15：00-18：00</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李慧萍、李  展</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胡茹珊、邓胜平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2294" w:type="dxa"/>
            <w:vAlign w:val="center"/>
          </w:tcPr>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8月28日</w:t>
            </w:r>
          </w:p>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15：00-18：00</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周阳辉、李  展</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黄  怡、刘怡君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2294" w:type="dxa"/>
            <w:vAlign w:val="center"/>
          </w:tcPr>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9月11日</w:t>
            </w:r>
          </w:p>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15：00-18：00</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李慧萍、罗  琳</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梁朝晖、单方剑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2294" w:type="dxa"/>
            <w:vAlign w:val="center"/>
          </w:tcPr>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9月25日</w:t>
            </w:r>
          </w:p>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15：00-18：00</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周阳辉、李  展</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胡茹珊、王朝晖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2294" w:type="dxa"/>
            <w:vAlign w:val="center"/>
          </w:tcPr>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10月16日</w:t>
            </w:r>
          </w:p>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14：30-17：30</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李慧萍、田益明</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梁朝晖、邓胜平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2294" w:type="dxa"/>
            <w:vAlign w:val="center"/>
          </w:tcPr>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10月30日</w:t>
            </w:r>
          </w:p>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14：30-17：30</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周阳辉、罗  琳</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黄  怡、单方剑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2294" w:type="dxa"/>
            <w:vAlign w:val="center"/>
          </w:tcPr>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11月13日</w:t>
            </w:r>
          </w:p>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14：30-17：30</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李慧萍、李  展</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王朝晖、刘怡君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2294" w:type="dxa"/>
            <w:vAlign w:val="center"/>
          </w:tcPr>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11月27日</w:t>
            </w:r>
          </w:p>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14：30-17：30</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周阳辉、田益明</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梁朝晖、邓胜平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2294" w:type="dxa"/>
            <w:vAlign w:val="center"/>
          </w:tcPr>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12月11日</w:t>
            </w:r>
          </w:p>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14：30-17：30</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李慧萍、罗  琳</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黄  怡、单方剑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2294" w:type="dxa"/>
            <w:vAlign w:val="center"/>
          </w:tcPr>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12月25日</w:t>
            </w:r>
          </w:p>
          <w:p>
            <w:pPr>
              <w:widowControl/>
              <w:adjustRightInd w:val="0"/>
              <w:snapToGrid w:val="0"/>
              <w:jc w:val="center"/>
              <w:textAlignment w:val="center"/>
              <w:rPr>
                <w:rFonts w:ascii="宋体" w:hAnsi="宋体" w:cs="宋体"/>
                <w:color w:val="000000"/>
                <w:kern w:val="0"/>
                <w:sz w:val="24"/>
                <w:szCs w:val="24"/>
                <w:lang w:bidi="ar"/>
              </w:rPr>
            </w:pPr>
            <w:r>
              <w:rPr>
                <w:rFonts w:hint="eastAsia" w:ascii="宋体" w:hAnsi="宋体" w:cs="宋体"/>
                <w:color w:val="000000"/>
                <w:kern w:val="0"/>
                <w:sz w:val="24"/>
                <w:szCs w:val="24"/>
                <w:lang w:bidi="ar"/>
              </w:rPr>
              <w:t>14：30-17：30</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周阳辉、李  展</w:t>
            </w:r>
          </w:p>
        </w:tc>
        <w:tc>
          <w:tcPr>
            <w:tcW w:w="3114" w:type="dxa"/>
            <w:vAlign w:val="center"/>
          </w:tcPr>
          <w:p>
            <w:pPr>
              <w:adjustRightInd w:val="0"/>
              <w:snapToGrid w:val="0"/>
              <w:jc w:val="center"/>
              <w:rPr>
                <w:rFonts w:ascii="宋体" w:hAnsi="宋体" w:cs="宋体"/>
                <w:sz w:val="24"/>
                <w:szCs w:val="24"/>
              </w:rPr>
            </w:pPr>
            <w:r>
              <w:rPr>
                <w:rFonts w:hint="eastAsia" w:ascii="宋体" w:hAnsi="宋体" w:cs="宋体"/>
                <w:sz w:val="24"/>
                <w:szCs w:val="24"/>
              </w:rPr>
              <w:t>王朝晖、刘怡君</w:t>
            </w:r>
          </w:p>
        </w:tc>
      </w:tr>
    </w:tbl>
    <w:p>
      <w:pPr>
        <w:rPr>
          <w:rFonts w:ascii="仿宋_GB2312" w:eastAsia="仿宋_GB2312"/>
          <w:sz w:val="32"/>
          <w:szCs w:val="32"/>
        </w:rPr>
        <w:sectPr>
          <w:footerReference r:id="rId3" w:type="default"/>
          <w:footerReference r:id="rId4" w:type="even"/>
          <w:pgSz w:w="11906" w:h="16838"/>
          <w:pgMar w:top="1440" w:right="1800" w:bottom="1440" w:left="1800" w:header="851" w:footer="992" w:gutter="0"/>
          <w:pgNumType w:fmt="numberInDash"/>
          <w:cols w:space="720" w:num="1"/>
          <w:docGrid w:type="lines" w:linePitch="312" w:charSpace="0"/>
        </w:sectPr>
      </w:pPr>
    </w:p>
    <w:p>
      <w:pPr>
        <w:rPr>
          <w:rFonts w:ascii="黑体" w:hAnsi="黑体" w:eastAsia="黑体" w:cs="黑体"/>
          <w:sz w:val="32"/>
          <w:szCs w:val="32"/>
        </w:rPr>
      </w:pPr>
      <w:r>
        <w:rPr>
          <w:rFonts w:hint="eastAsia" w:ascii="黑体" w:hAnsi="黑体" w:eastAsia="黑体" w:cs="黑体"/>
          <w:sz w:val="32"/>
          <w:szCs w:val="32"/>
        </w:rPr>
        <w:t>附件2</w:t>
      </w:r>
    </w:p>
    <w:p>
      <w:pPr>
        <w:jc w:val="center"/>
        <w:rPr>
          <w:rFonts w:ascii="仿宋_GB2312" w:eastAsia="仿宋_GB2312"/>
          <w:sz w:val="32"/>
          <w:szCs w:val="32"/>
        </w:rPr>
      </w:pPr>
      <w:r>
        <w:rPr>
          <w:rFonts w:hint="eastAsia" w:ascii="方正小标宋简体" w:hAnsi="方正小标宋简体" w:eastAsia="方正小标宋简体" w:cs="方正小标宋简体"/>
          <w:sz w:val="44"/>
          <w:szCs w:val="44"/>
        </w:rPr>
        <w:t>湖南省医药集中采购常见业务问题解答</w:t>
      </w:r>
    </w:p>
    <w:tbl>
      <w:tblPr>
        <w:tblStyle w:val="6"/>
        <w:tblW w:w="14056" w:type="dxa"/>
        <w:tblInd w:w="0" w:type="dxa"/>
        <w:tblLayout w:type="fixed"/>
        <w:tblCellMar>
          <w:top w:w="0" w:type="dxa"/>
          <w:left w:w="108" w:type="dxa"/>
          <w:bottom w:w="0" w:type="dxa"/>
          <w:right w:w="108" w:type="dxa"/>
        </w:tblCellMar>
      </w:tblPr>
      <w:tblGrid>
        <w:gridCol w:w="701"/>
        <w:gridCol w:w="1272"/>
        <w:gridCol w:w="3276"/>
        <w:gridCol w:w="8807"/>
      </w:tblGrid>
      <w:tr>
        <w:tblPrEx>
          <w:tblLayout w:type="fixed"/>
          <w:tblCellMar>
            <w:top w:w="0" w:type="dxa"/>
            <w:left w:w="108" w:type="dxa"/>
            <w:bottom w:w="0" w:type="dxa"/>
            <w:right w:w="108" w:type="dxa"/>
          </w:tblCellMar>
        </w:tblPrEx>
        <w:trPr>
          <w:cantSplit/>
          <w:trHeight w:val="555" w:hRule="atLeast"/>
          <w:tblHeader/>
        </w:trPr>
        <w:tc>
          <w:tcPr>
            <w:tcW w:w="701"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center"/>
              <w:rPr>
                <w:rFonts w:ascii="宋体" w:hAnsi="宋体" w:cs="宋体"/>
                <w:b/>
                <w:bCs/>
                <w:kern w:val="0"/>
                <w:sz w:val="24"/>
                <w:szCs w:val="24"/>
              </w:rPr>
            </w:pPr>
            <w:r>
              <w:rPr>
                <w:rFonts w:hint="eastAsia" w:ascii="宋体" w:hAnsi="宋体" w:cs="宋体"/>
                <w:b/>
                <w:bCs/>
                <w:kern w:val="0"/>
                <w:sz w:val="24"/>
                <w:szCs w:val="24"/>
              </w:rPr>
              <w:t>序号</w:t>
            </w:r>
          </w:p>
        </w:tc>
        <w:tc>
          <w:tcPr>
            <w:tcW w:w="1272" w:type="dxa"/>
            <w:tcBorders>
              <w:top w:val="single" w:color="auto" w:sz="4" w:space="0"/>
              <w:left w:val="nil"/>
              <w:bottom w:val="single" w:color="auto" w:sz="4" w:space="0"/>
              <w:right w:val="single" w:color="auto" w:sz="4" w:space="0"/>
            </w:tcBorders>
            <w:vAlign w:val="center"/>
          </w:tcPr>
          <w:p>
            <w:pPr>
              <w:widowControl/>
              <w:adjustRightInd w:val="0"/>
              <w:snapToGrid w:val="0"/>
              <w:jc w:val="center"/>
              <w:rPr>
                <w:rFonts w:ascii="宋体" w:hAnsi="宋体" w:cs="宋体"/>
                <w:b/>
                <w:bCs/>
                <w:kern w:val="0"/>
                <w:sz w:val="24"/>
                <w:szCs w:val="24"/>
              </w:rPr>
            </w:pPr>
            <w:r>
              <w:rPr>
                <w:rFonts w:hint="eastAsia" w:ascii="宋体" w:hAnsi="宋体" w:cs="宋体"/>
                <w:b/>
                <w:bCs/>
                <w:kern w:val="0"/>
                <w:sz w:val="24"/>
                <w:szCs w:val="24"/>
              </w:rPr>
              <w:t>所属类别</w:t>
            </w:r>
          </w:p>
        </w:tc>
        <w:tc>
          <w:tcPr>
            <w:tcW w:w="3276" w:type="dxa"/>
            <w:tcBorders>
              <w:top w:val="single" w:color="auto" w:sz="4" w:space="0"/>
              <w:left w:val="nil"/>
              <w:bottom w:val="single" w:color="auto" w:sz="4" w:space="0"/>
              <w:right w:val="single" w:color="auto" w:sz="4" w:space="0"/>
            </w:tcBorders>
            <w:vAlign w:val="center"/>
          </w:tcPr>
          <w:p>
            <w:pPr>
              <w:widowControl/>
              <w:adjustRightInd w:val="0"/>
              <w:snapToGrid w:val="0"/>
              <w:jc w:val="center"/>
              <w:rPr>
                <w:rFonts w:ascii="宋体" w:hAnsi="宋体" w:cs="宋体"/>
                <w:b/>
                <w:bCs/>
                <w:kern w:val="0"/>
                <w:sz w:val="24"/>
                <w:szCs w:val="24"/>
              </w:rPr>
            </w:pPr>
            <w:r>
              <w:rPr>
                <w:rFonts w:hint="eastAsia" w:ascii="宋体" w:hAnsi="宋体" w:cs="宋体"/>
                <w:b/>
                <w:bCs/>
                <w:kern w:val="0"/>
                <w:sz w:val="24"/>
                <w:szCs w:val="24"/>
              </w:rPr>
              <w:t>常见问题</w:t>
            </w:r>
          </w:p>
        </w:tc>
        <w:tc>
          <w:tcPr>
            <w:tcW w:w="8807" w:type="dxa"/>
            <w:tcBorders>
              <w:top w:val="single" w:color="auto" w:sz="4" w:space="0"/>
              <w:left w:val="nil"/>
              <w:bottom w:val="single" w:color="auto" w:sz="4" w:space="0"/>
              <w:right w:val="single" w:color="auto" w:sz="4" w:space="0"/>
            </w:tcBorders>
            <w:vAlign w:val="center"/>
          </w:tcPr>
          <w:p>
            <w:pPr>
              <w:widowControl/>
              <w:adjustRightInd w:val="0"/>
              <w:snapToGrid w:val="0"/>
              <w:jc w:val="center"/>
              <w:rPr>
                <w:rFonts w:ascii="宋体" w:hAnsi="宋体" w:cs="宋体"/>
                <w:b/>
                <w:bCs/>
                <w:kern w:val="0"/>
                <w:sz w:val="24"/>
                <w:szCs w:val="24"/>
              </w:rPr>
            </w:pPr>
            <w:r>
              <w:rPr>
                <w:rFonts w:hint="eastAsia" w:ascii="宋体" w:hAnsi="宋体" w:cs="宋体"/>
                <w:b/>
                <w:bCs/>
                <w:kern w:val="0"/>
                <w:sz w:val="24"/>
                <w:szCs w:val="24"/>
              </w:rPr>
              <w:t>问题解答</w:t>
            </w:r>
          </w:p>
        </w:tc>
      </w:tr>
      <w:tr>
        <w:tblPrEx>
          <w:tblLayout w:type="fixed"/>
          <w:tblCellMar>
            <w:top w:w="0" w:type="dxa"/>
            <w:left w:w="108" w:type="dxa"/>
            <w:bottom w:w="0" w:type="dxa"/>
            <w:right w:w="108" w:type="dxa"/>
          </w:tblCellMar>
        </w:tblPrEx>
        <w:trPr>
          <w:cantSplit/>
          <w:trHeight w:val="1540"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药品、耗材通用</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企业账号类型怎么区分？</w:t>
            </w:r>
          </w:p>
        </w:tc>
        <w:tc>
          <w:tcPr>
            <w:tcW w:w="8807" w:type="dxa"/>
            <w:tcBorders>
              <w:top w:val="nil"/>
              <w:left w:val="nil"/>
              <w:bottom w:val="single" w:color="auto" w:sz="4" w:space="0"/>
              <w:right w:val="single" w:color="auto" w:sz="4" w:space="0"/>
            </w:tcBorders>
            <w:vAlign w:val="center"/>
          </w:tcPr>
          <w:p>
            <w:pPr>
              <w:widowControl/>
              <w:adjustRightInd w:val="0"/>
              <w:snapToGrid w:val="0"/>
              <w:spacing w:line="300" w:lineRule="exact"/>
              <w:rPr>
                <w:rFonts w:ascii="宋体" w:hAnsi="宋体" w:cs="宋体"/>
                <w:kern w:val="0"/>
                <w:sz w:val="24"/>
                <w:szCs w:val="24"/>
              </w:rPr>
            </w:pPr>
            <w:r>
              <w:rPr>
                <w:rFonts w:hint="eastAsia" w:ascii="宋体" w:hAnsi="宋体" w:cs="宋体"/>
                <w:kern w:val="0"/>
                <w:sz w:val="24"/>
                <w:szCs w:val="24"/>
              </w:rPr>
              <w:t>企业注册账号时，可以选择注册“配送企业、生产企业和代理企业”3种企业类型。配送企业是指负责产品流通配送的经营企业，网上申报资料时只要填报与及时更新企业信息，不能申报产品信息。生产企业指国产产品的生产厂家，须同时进行企业和产品信息的填报与及时更新。代理企业是指进口或港澳台地区产品在国内的一级代理企业，须同时填报与及时更新企业和产品信息。</w:t>
            </w:r>
          </w:p>
        </w:tc>
      </w:tr>
      <w:tr>
        <w:tblPrEx>
          <w:tblLayout w:type="fixed"/>
          <w:tblCellMar>
            <w:top w:w="0" w:type="dxa"/>
            <w:left w:w="108" w:type="dxa"/>
            <w:bottom w:w="0" w:type="dxa"/>
            <w:right w:w="108" w:type="dxa"/>
          </w:tblCellMar>
        </w:tblPrEx>
        <w:trPr>
          <w:cantSplit/>
          <w:trHeight w:val="983"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药品、耗材通用</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企业注册的时候显示“企业已存在”如何处理？</w:t>
            </w:r>
          </w:p>
        </w:tc>
        <w:tc>
          <w:tcPr>
            <w:tcW w:w="8807" w:type="dxa"/>
            <w:tcBorders>
              <w:top w:val="nil"/>
              <w:left w:val="nil"/>
              <w:bottom w:val="single" w:color="auto" w:sz="4" w:space="0"/>
              <w:right w:val="single" w:color="auto" w:sz="4" w:space="0"/>
            </w:tcBorders>
            <w:vAlign w:val="center"/>
          </w:tcPr>
          <w:p>
            <w:pPr>
              <w:widowControl/>
              <w:adjustRightInd w:val="0"/>
              <w:snapToGrid w:val="0"/>
              <w:spacing w:line="300" w:lineRule="exact"/>
              <w:rPr>
                <w:rFonts w:ascii="宋体" w:hAnsi="宋体" w:cs="宋体"/>
                <w:kern w:val="0"/>
                <w:sz w:val="24"/>
                <w:szCs w:val="24"/>
              </w:rPr>
            </w:pPr>
            <w:r>
              <w:rPr>
                <w:rFonts w:hint="eastAsia" w:ascii="宋体" w:hAnsi="宋体" w:cs="宋体"/>
                <w:kern w:val="0"/>
                <w:sz w:val="24"/>
                <w:szCs w:val="24"/>
              </w:rPr>
              <w:t>显示“企业已存在”，说明该企业已完成注册，可直接到CA办理点进行绑定即可。如果是同一家企业办理不同类型的企业账号（如：既是配送企业、又是生产企业或代理企业），在注册时，可在企业名称后添加“配送、代理或生产”。如：***医疗器械有限公司，作为生产企业已注册，需要再申请配送企业账号，注册名称为填写“***医疗器械有限公司（配送）”。</w:t>
            </w:r>
          </w:p>
        </w:tc>
      </w:tr>
      <w:tr>
        <w:tblPrEx>
          <w:tblLayout w:type="fixed"/>
          <w:tblCellMar>
            <w:top w:w="0" w:type="dxa"/>
            <w:left w:w="108" w:type="dxa"/>
            <w:bottom w:w="0" w:type="dxa"/>
            <w:right w:w="108" w:type="dxa"/>
          </w:tblCellMar>
        </w:tblPrEx>
        <w:trPr>
          <w:cantSplit/>
          <w:trHeight w:val="2023"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药品</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药品如何申请挂网？</w:t>
            </w:r>
          </w:p>
        </w:tc>
        <w:tc>
          <w:tcPr>
            <w:tcW w:w="8807" w:type="dxa"/>
            <w:tcBorders>
              <w:top w:val="nil"/>
              <w:left w:val="nil"/>
              <w:bottom w:val="single" w:color="auto" w:sz="4" w:space="0"/>
              <w:right w:val="single" w:color="auto" w:sz="4" w:space="0"/>
            </w:tcBorders>
            <w:vAlign w:val="center"/>
          </w:tcPr>
          <w:p>
            <w:pPr>
              <w:widowControl/>
              <w:adjustRightInd w:val="0"/>
              <w:snapToGrid w:val="0"/>
              <w:spacing w:line="300" w:lineRule="exact"/>
              <w:rPr>
                <w:rFonts w:ascii="宋体" w:hAnsi="宋体" w:cs="宋体"/>
                <w:kern w:val="0"/>
                <w:sz w:val="24"/>
                <w:szCs w:val="24"/>
              </w:rPr>
            </w:pPr>
            <w:r>
              <w:rPr>
                <w:rFonts w:hint="eastAsia" w:ascii="宋体" w:hAnsi="宋体" w:cs="宋体"/>
                <w:kern w:val="0"/>
                <w:sz w:val="24"/>
                <w:szCs w:val="24"/>
              </w:rPr>
              <w:t>未在湖南省医药集中采购平台挂网的产品，可通过基础数据库添加产品信息，具体操作见“湖南省药品集中采购平台备案采购系统操作手册”。如果招标目录内无对应的产品目录（通用名、剂型或规格），需携带法定代表人授权书、药品生产批件、到现场先增加目录，后在线申报产品。新增产品统一审核公示后，先进入备案采购产品目录。符合相关政策规定的可直接挂网的产品（急抢救药、短缺药品、新药和通过一致性评价药品等），后续可以在对应模块进行申报。。</w:t>
            </w:r>
          </w:p>
        </w:tc>
      </w:tr>
      <w:tr>
        <w:tblPrEx>
          <w:tblLayout w:type="fixed"/>
          <w:tblCellMar>
            <w:top w:w="0" w:type="dxa"/>
            <w:left w:w="108" w:type="dxa"/>
            <w:bottom w:w="0" w:type="dxa"/>
            <w:right w:w="108" w:type="dxa"/>
          </w:tblCellMar>
        </w:tblPrEx>
        <w:trPr>
          <w:cantSplit/>
          <w:trHeight w:val="994"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药品</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基本药物身份如何进行申报？</w:t>
            </w:r>
          </w:p>
        </w:tc>
        <w:tc>
          <w:tcPr>
            <w:tcW w:w="8807" w:type="dxa"/>
            <w:tcBorders>
              <w:top w:val="nil"/>
              <w:left w:val="nil"/>
              <w:bottom w:val="single" w:color="auto" w:sz="4" w:space="0"/>
              <w:right w:val="single" w:color="auto" w:sz="4" w:space="0"/>
            </w:tcBorders>
            <w:vAlign w:val="center"/>
          </w:tcPr>
          <w:p>
            <w:pPr>
              <w:widowControl/>
              <w:adjustRightInd w:val="0"/>
              <w:snapToGrid w:val="0"/>
              <w:spacing w:line="300" w:lineRule="exact"/>
              <w:rPr>
                <w:rFonts w:ascii="宋体" w:hAnsi="宋体" w:cs="宋体"/>
                <w:kern w:val="0"/>
                <w:sz w:val="24"/>
                <w:szCs w:val="24"/>
              </w:rPr>
            </w:pPr>
            <w:r>
              <w:rPr>
                <w:rFonts w:hint="eastAsia" w:ascii="宋体" w:hAnsi="宋体" w:cs="宋体"/>
                <w:kern w:val="0"/>
                <w:sz w:val="24"/>
                <w:szCs w:val="24"/>
              </w:rPr>
              <w:t>企业认为本企业产品属于国家基本药物目录，可通过申诉模块申请基本药物认定，相关申报资料经行政主管部门审定后在湖南省医药集中采购平台公示后经认定为基本药物的产品纳入基本药物目录管理。</w:t>
            </w:r>
          </w:p>
        </w:tc>
      </w:tr>
      <w:tr>
        <w:tblPrEx>
          <w:tblLayout w:type="fixed"/>
          <w:tblCellMar>
            <w:top w:w="0" w:type="dxa"/>
            <w:left w:w="108" w:type="dxa"/>
            <w:bottom w:w="0" w:type="dxa"/>
            <w:right w:w="108" w:type="dxa"/>
          </w:tblCellMar>
        </w:tblPrEx>
        <w:trPr>
          <w:cantSplit/>
          <w:trHeight w:val="710"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药品</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如何进行药品信息变更？</w:t>
            </w:r>
          </w:p>
        </w:tc>
        <w:tc>
          <w:tcPr>
            <w:tcW w:w="8807"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药品企业和产品信息变更可通过基础数据库信息变更模块在线申请。</w:t>
            </w:r>
          </w:p>
        </w:tc>
      </w:tr>
      <w:tr>
        <w:tblPrEx>
          <w:tblLayout w:type="fixed"/>
          <w:tblCellMar>
            <w:top w:w="0" w:type="dxa"/>
            <w:left w:w="108" w:type="dxa"/>
            <w:bottom w:w="0" w:type="dxa"/>
            <w:right w:w="108" w:type="dxa"/>
          </w:tblCellMar>
        </w:tblPrEx>
        <w:trPr>
          <w:cantSplit/>
          <w:trHeight w:val="1118"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药品</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如何申报急抢救药、短缺药品类别？</w:t>
            </w:r>
          </w:p>
        </w:tc>
        <w:tc>
          <w:tcPr>
            <w:tcW w:w="8807"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fldChar w:fldCharType="begin"/>
            </w:r>
            <w:r>
              <w:instrText xml:space="preserve"> HYPERLINK </w:instrText>
            </w:r>
            <w:r>
              <w:fldChar w:fldCharType="separate"/>
            </w:r>
            <w:r>
              <w:fldChar w:fldCharType="end"/>
            </w:r>
            <w:r>
              <w:fldChar w:fldCharType="begin"/>
            </w:r>
            <w:r>
              <w:instrText xml:space="preserve"> HYPERLINK </w:instrText>
            </w:r>
            <w:r>
              <w:fldChar w:fldCharType="separate"/>
            </w:r>
            <w:r>
              <w:fldChar w:fldCharType="end"/>
            </w:r>
            <w:r>
              <w:rPr>
                <w:rFonts w:hint="eastAsia" w:ascii="宋体" w:hAnsi="宋体" w:cs="宋体"/>
                <w:kern w:val="0"/>
                <w:sz w:val="24"/>
                <w:szCs w:val="24"/>
              </w:rPr>
              <w:t>按照相关部门最新政策文件具体操作见“急抢救药品操作手册”。之前未挂网的产品需先进行增补操作。</w:t>
            </w:r>
          </w:p>
          <w:p>
            <w:pPr>
              <w:widowControl/>
              <w:adjustRightInd w:val="0"/>
              <w:snapToGrid w:val="0"/>
              <w:rPr>
                <w:rFonts w:ascii="宋体" w:hAnsi="宋体" w:cs="宋体"/>
                <w:kern w:val="0"/>
                <w:sz w:val="24"/>
                <w:szCs w:val="24"/>
              </w:rPr>
            </w:pPr>
            <w:r>
              <w:rPr>
                <w:rFonts w:hint="eastAsia" w:ascii="宋体" w:hAnsi="宋体" w:cs="宋体"/>
                <w:kern w:val="0"/>
                <w:sz w:val="24"/>
                <w:szCs w:val="24"/>
              </w:rPr>
              <w:t>如产品不在系统中，须先进行增补挂网操作，进入备案采购目录。</w:t>
            </w:r>
          </w:p>
        </w:tc>
      </w:tr>
      <w:tr>
        <w:tblPrEx>
          <w:tblLayout w:type="fixed"/>
          <w:tblCellMar>
            <w:top w:w="0" w:type="dxa"/>
            <w:left w:w="108" w:type="dxa"/>
            <w:bottom w:w="0" w:type="dxa"/>
            <w:right w:w="108" w:type="dxa"/>
          </w:tblCellMar>
        </w:tblPrEx>
        <w:trPr>
          <w:cantSplit/>
          <w:trHeight w:val="1013"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药品</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新药和通过一致性评价药品如何申报及认定？</w:t>
            </w:r>
          </w:p>
        </w:tc>
        <w:tc>
          <w:tcPr>
            <w:tcW w:w="8807"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按照</w:t>
            </w:r>
            <w:r>
              <w:fldChar w:fldCharType="begin"/>
            </w:r>
            <w:r>
              <w:instrText xml:space="preserve"> HYPERLINK </w:instrText>
            </w:r>
            <w:r>
              <w:fldChar w:fldCharType="separate"/>
            </w:r>
            <w:r>
              <w:fldChar w:fldCharType="end"/>
            </w:r>
            <w:r>
              <w:fldChar w:fldCharType="begin"/>
            </w:r>
            <w:r>
              <w:instrText xml:space="preserve"> HYPERLINK </w:instrText>
            </w:r>
            <w:r>
              <w:fldChar w:fldCharType="separate"/>
            </w:r>
            <w:r>
              <w:fldChar w:fldCharType="end"/>
            </w:r>
            <w:r>
              <w:rPr>
                <w:rFonts w:hint="eastAsia" w:ascii="宋体" w:hAnsi="宋体" w:cs="宋体"/>
                <w:kern w:val="0"/>
                <w:sz w:val="24"/>
                <w:szCs w:val="24"/>
              </w:rPr>
              <w:t>相关部门最新政策文件，具体操作见“填报完善新药和通过一致性评价药品信息操作手册”。</w:t>
            </w:r>
          </w:p>
          <w:p>
            <w:pPr>
              <w:widowControl/>
              <w:adjustRightInd w:val="0"/>
              <w:snapToGrid w:val="0"/>
              <w:rPr>
                <w:rFonts w:ascii="宋体" w:hAnsi="宋体" w:cs="宋体"/>
                <w:kern w:val="0"/>
                <w:sz w:val="24"/>
                <w:szCs w:val="24"/>
              </w:rPr>
            </w:pPr>
            <w:r>
              <w:rPr>
                <w:rFonts w:hint="eastAsia" w:ascii="宋体" w:hAnsi="宋体" w:cs="宋体"/>
                <w:kern w:val="0"/>
                <w:sz w:val="24"/>
                <w:szCs w:val="24"/>
              </w:rPr>
              <w:t>如产品不在系统中，须先进行增补挂网操作，进入备案采购目录，再按此流程申报。</w:t>
            </w:r>
          </w:p>
        </w:tc>
      </w:tr>
      <w:tr>
        <w:tblPrEx>
          <w:tblLayout w:type="fixed"/>
          <w:tblCellMar>
            <w:top w:w="0" w:type="dxa"/>
            <w:left w:w="108" w:type="dxa"/>
            <w:bottom w:w="0" w:type="dxa"/>
            <w:right w:w="108" w:type="dxa"/>
          </w:tblCellMar>
        </w:tblPrEx>
        <w:trPr>
          <w:cantSplit/>
          <w:trHeight w:val="1087"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药品</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价格联动目录范围是哪些？</w:t>
            </w:r>
          </w:p>
        </w:tc>
        <w:tc>
          <w:tcPr>
            <w:tcW w:w="8807"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按照当年价格联动政策文件，企业认为本企业产品符合本次价格联动条件的而遗漏的，可以通过申（投）诉流程进行申诉。不属于联动范围的申诉将无效。抗菌素类以外的其它备案药品的价格联动工作时间另行通知。</w:t>
            </w:r>
          </w:p>
        </w:tc>
      </w:tr>
      <w:tr>
        <w:tblPrEx>
          <w:tblLayout w:type="fixed"/>
          <w:tblCellMar>
            <w:top w:w="0" w:type="dxa"/>
            <w:left w:w="108" w:type="dxa"/>
            <w:bottom w:w="0" w:type="dxa"/>
            <w:right w:w="108" w:type="dxa"/>
          </w:tblCellMar>
        </w:tblPrEx>
        <w:trPr>
          <w:cantSplit/>
          <w:trHeight w:val="2393"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药品</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价格联动目录范围是哪些？</w:t>
            </w:r>
          </w:p>
        </w:tc>
        <w:tc>
          <w:tcPr>
            <w:tcW w:w="8807"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企业需分别确定湖南实际采购的唯一全国省级最低价（不包括广东、福建、重庆）。湖南省与外省多省价格相同、且均为全国最低价，填报其中任一省即可。</w:t>
            </w:r>
          </w:p>
          <w:p>
            <w:pPr>
              <w:widowControl/>
              <w:adjustRightInd w:val="0"/>
              <w:snapToGrid w:val="0"/>
              <w:rPr>
                <w:rFonts w:ascii="宋体" w:hAnsi="宋体" w:cs="宋体"/>
                <w:kern w:val="0"/>
                <w:sz w:val="24"/>
                <w:szCs w:val="24"/>
              </w:rPr>
            </w:pPr>
            <w:r>
              <w:rPr>
                <w:rFonts w:hint="eastAsia" w:ascii="宋体" w:hAnsi="宋体" w:cs="宋体"/>
                <w:kern w:val="0"/>
                <w:sz w:val="24"/>
                <w:szCs w:val="24"/>
              </w:rPr>
              <w:t>同一企业生产的药品，按照与我省现联动目录同通用名、同剂型、同规格、同包装（四同）为联动标准，其它与我省目录“四同”中凡有一项不同的，可以不联动。</w:t>
            </w:r>
          </w:p>
          <w:p>
            <w:pPr>
              <w:widowControl/>
              <w:adjustRightInd w:val="0"/>
              <w:snapToGrid w:val="0"/>
              <w:rPr>
                <w:rFonts w:ascii="宋体" w:hAnsi="宋体" w:cs="宋体"/>
                <w:kern w:val="0"/>
                <w:sz w:val="24"/>
                <w:szCs w:val="24"/>
              </w:rPr>
            </w:pPr>
            <w:r>
              <w:rPr>
                <w:rFonts w:hint="eastAsia" w:ascii="宋体" w:hAnsi="宋体" w:cs="宋体"/>
                <w:kern w:val="0"/>
                <w:sz w:val="24"/>
                <w:szCs w:val="24"/>
              </w:rPr>
              <w:t>填报外省价格信息时，以填报2019年8月31日正在执行，且2019年1月1日至8月31日该产品在所在省有实际交易的价格为准，如这个时间段在该省无实际交易则对应价格可不用填报，并勾选“无实际交易省份”。</w:t>
            </w:r>
          </w:p>
        </w:tc>
      </w:tr>
      <w:tr>
        <w:tblPrEx>
          <w:tblLayout w:type="fixed"/>
          <w:tblCellMar>
            <w:top w:w="0" w:type="dxa"/>
            <w:left w:w="108" w:type="dxa"/>
            <w:bottom w:w="0" w:type="dxa"/>
            <w:right w:w="108" w:type="dxa"/>
          </w:tblCellMar>
        </w:tblPrEx>
        <w:trPr>
          <w:cantSplit/>
          <w:trHeight w:val="839"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药品</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备案产品的价格如何产生？</w:t>
            </w:r>
          </w:p>
        </w:tc>
        <w:tc>
          <w:tcPr>
            <w:tcW w:w="8807"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备案产品需医疗机构在系统内录入双方议定的价格，生产企业（进口产品总代）进行确认后即可产生采购价格。</w:t>
            </w:r>
          </w:p>
        </w:tc>
      </w:tr>
      <w:tr>
        <w:tblPrEx>
          <w:tblLayout w:type="fixed"/>
          <w:tblCellMar>
            <w:top w:w="0" w:type="dxa"/>
            <w:left w:w="108" w:type="dxa"/>
            <w:bottom w:w="0" w:type="dxa"/>
            <w:right w:w="108" w:type="dxa"/>
          </w:tblCellMar>
        </w:tblPrEx>
        <w:trPr>
          <w:cantSplit/>
          <w:trHeight w:val="702"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药品</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关于备案产品何时可以建立配送关系？</w:t>
            </w:r>
          </w:p>
        </w:tc>
        <w:tc>
          <w:tcPr>
            <w:tcW w:w="8807"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备案挂网产品在确认价格后，生产企业即可在交易系统内“配送关系管理”模块与配送企业建立配送关系。</w:t>
            </w:r>
          </w:p>
        </w:tc>
      </w:tr>
      <w:tr>
        <w:tblPrEx>
          <w:tblLayout w:type="fixed"/>
          <w:tblCellMar>
            <w:top w:w="0" w:type="dxa"/>
            <w:left w:w="108" w:type="dxa"/>
            <w:bottom w:w="0" w:type="dxa"/>
            <w:right w:w="108" w:type="dxa"/>
          </w:tblCellMar>
        </w:tblPrEx>
        <w:trPr>
          <w:cantSplit/>
          <w:trHeight w:val="23"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药品</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产品的多包装是否能够取消？</w:t>
            </w:r>
          </w:p>
        </w:tc>
        <w:tc>
          <w:tcPr>
            <w:tcW w:w="8807"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根据现行政策，只有新药和通过一致性评价品种可以申请取消多包装，其他产品不能取消多包装。</w:t>
            </w:r>
          </w:p>
        </w:tc>
      </w:tr>
      <w:tr>
        <w:tblPrEx>
          <w:tblLayout w:type="fixed"/>
          <w:tblCellMar>
            <w:top w:w="0" w:type="dxa"/>
            <w:left w:w="108" w:type="dxa"/>
            <w:bottom w:w="0" w:type="dxa"/>
            <w:right w:w="108" w:type="dxa"/>
          </w:tblCellMar>
        </w:tblPrEx>
        <w:trPr>
          <w:cantSplit/>
          <w:trHeight w:val="23"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药品</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已挂网产品能否撤销挂网？</w:t>
            </w:r>
          </w:p>
        </w:tc>
        <w:tc>
          <w:tcPr>
            <w:tcW w:w="8807"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在省际价格联动期间，允许省际价格联动目录范围内的产品撤标。其他时间段原则上不能撤标。</w:t>
            </w:r>
          </w:p>
        </w:tc>
      </w:tr>
      <w:tr>
        <w:tblPrEx>
          <w:tblLayout w:type="fixed"/>
          <w:tblCellMar>
            <w:top w:w="0" w:type="dxa"/>
            <w:left w:w="108" w:type="dxa"/>
            <w:bottom w:w="0" w:type="dxa"/>
            <w:right w:w="108" w:type="dxa"/>
          </w:tblCellMar>
        </w:tblPrEx>
        <w:trPr>
          <w:cantSplit/>
          <w:trHeight w:val="23"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耗材</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高值耗材与普通耗材怎么分类？</w:t>
            </w:r>
          </w:p>
        </w:tc>
        <w:tc>
          <w:tcPr>
            <w:tcW w:w="8807"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我省高值医用耗材采购目录包括：血管介入、骨科植入、神经外科、结构心脏病、非血管介入、起搏器、电生理、吻合器、体外循环及血液净化、人工器官组织、疝修补、口腔和眼科等13大类。</w:t>
            </w:r>
          </w:p>
          <w:p>
            <w:pPr>
              <w:widowControl/>
              <w:adjustRightInd w:val="0"/>
              <w:snapToGrid w:val="0"/>
              <w:rPr>
                <w:rFonts w:ascii="宋体" w:hAnsi="宋体" w:cs="宋体"/>
                <w:kern w:val="0"/>
                <w:sz w:val="24"/>
                <w:szCs w:val="24"/>
              </w:rPr>
            </w:pPr>
            <w:r>
              <w:rPr>
                <w:rFonts w:hint="eastAsia" w:ascii="宋体" w:hAnsi="宋体" w:cs="宋体"/>
                <w:kern w:val="0"/>
                <w:sz w:val="24"/>
                <w:szCs w:val="24"/>
              </w:rPr>
              <w:t>普通耗材是指除高值耗材以外的其他所有医用耗材和检验试剂。产品类别分为：麻醉科类耗材、放射影像类、注射穿刺类、功能性敷料、基础卫生材料、医用止血防黏连材料、体外诊断（IVD）试剂）等。</w:t>
            </w:r>
          </w:p>
        </w:tc>
      </w:tr>
      <w:tr>
        <w:tblPrEx>
          <w:tblLayout w:type="fixed"/>
          <w:tblCellMar>
            <w:top w:w="0" w:type="dxa"/>
            <w:left w:w="108" w:type="dxa"/>
            <w:bottom w:w="0" w:type="dxa"/>
            <w:right w:w="108" w:type="dxa"/>
          </w:tblCellMar>
        </w:tblPrEx>
        <w:trPr>
          <w:cantSplit/>
          <w:trHeight w:val="23"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耗材</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医用耗材申报的基本流程是什么？</w:t>
            </w:r>
          </w:p>
        </w:tc>
        <w:tc>
          <w:tcPr>
            <w:tcW w:w="8807"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第一步：办理数字证书。生产企业（或进口产品一级代理企业）网上注册账号,到现场或网上办理数字证书(CA），咨询电话：0731-82210016。</w:t>
            </w:r>
          </w:p>
          <w:p>
            <w:pPr>
              <w:widowControl/>
              <w:adjustRightInd w:val="0"/>
              <w:snapToGrid w:val="0"/>
              <w:rPr>
                <w:rFonts w:ascii="宋体" w:hAnsi="宋体" w:cs="宋体"/>
                <w:kern w:val="0"/>
                <w:sz w:val="24"/>
                <w:szCs w:val="24"/>
              </w:rPr>
            </w:pPr>
            <w:r>
              <w:rPr>
                <w:rFonts w:hint="eastAsia" w:ascii="宋体" w:hAnsi="宋体" w:cs="宋体"/>
                <w:kern w:val="0"/>
                <w:sz w:val="24"/>
                <w:szCs w:val="24"/>
              </w:rPr>
              <w:t>第二步：维护基础信息。企业登录湖南省医药集中采购平台（yycg.hnsggzy.com），进入耗材阳光挂网采购系统，使用CA进入基础数据库，按要求填报与及时更新企业信息、注册证信息产品信息；</w:t>
            </w:r>
          </w:p>
          <w:p>
            <w:pPr>
              <w:widowControl/>
              <w:adjustRightInd w:val="0"/>
              <w:snapToGrid w:val="0"/>
              <w:rPr>
                <w:rFonts w:ascii="宋体" w:hAnsi="宋体" w:cs="宋体"/>
                <w:kern w:val="0"/>
                <w:sz w:val="24"/>
                <w:szCs w:val="24"/>
              </w:rPr>
            </w:pPr>
            <w:r>
              <w:rPr>
                <w:rFonts w:hint="eastAsia" w:ascii="宋体" w:hAnsi="宋体" w:cs="宋体"/>
                <w:kern w:val="0"/>
                <w:sz w:val="24"/>
                <w:szCs w:val="24"/>
              </w:rPr>
              <w:t>第三步：查看核验进度。企业进入基础库查询核验结果，需修改或补充的信息按反馈意见修改后重新提交核验，直到企业信息、注册证信息、组件信息和CODE信息全部“复审通过”。</w:t>
            </w:r>
          </w:p>
          <w:p>
            <w:pPr>
              <w:widowControl/>
              <w:adjustRightInd w:val="0"/>
              <w:snapToGrid w:val="0"/>
              <w:rPr>
                <w:rFonts w:ascii="宋体" w:hAnsi="宋体" w:cs="宋体"/>
                <w:kern w:val="0"/>
                <w:sz w:val="24"/>
                <w:szCs w:val="24"/>
              </w:rPr>
            </w:pPr>
            <w:r>
              <w:rPr>
                <w:rFonts w:hint="eastAsia" w:ascii="宋体" w:hAnsi="宋体" w:cs="宋体"/>
                <w:kern w:val="0"/>
                <w:sz w:val="24"/>
                <w:szCs w:val="24"/>
              </w:rPr>
              <w:t>第四步：结果公示与申投诉。企业通过湖南省医药集中采购平台“公示栏”查看公示核验结果，对有异议的产品进行申诉或投诉；</w:t>
            </w:r>
          </w:p>
          <w:p>
            <w:pPr>
              <w:widowControl/>
              <w:adjustRightInd w:val="0"/>
              <w:snapToGrid w:val="0"/>
              <w:rPr>
                <w:rFonts w:ascii="宋体" w:hAnsi="宋体" w:cs="宋体"/>
                <w:kern w:val="0"/>
                <w:sz w:val="24"/>
                <w:szCs w:val="24"/>
              </w:rPr>
            </w:pPr>
            <w:r>
              <w:rPr>
                <w:rFonts w:hint="eastAsia" w:ascii="宋体" w:hAnsi="宋体" w:cs="宋体"/>
                <w:kern w:val="0"/>
                <w:sz w:val="24"/>
                <w:szCs w:val="24"/>
              </w:rPr>
              <w:t>第五步：建立配送关系。挂网成功的产品，企业在交易系统建立配送关系，与医疗机构网上议价采购。</w:t>
            </w:r>
          </w:p>
        </w:tc>
      </w:tr>
      <w:tr>
        <w:tblPrEx>
          <w:tblLayout w:type="fixed"/>
          <w:tblCellMar>
            <w:top w:w="0" w:type="dxa"/>
            <w:left w:w="108" w:type="dxa"/>
            <w:bottom w:w="0" w:type="dxa"/>
            <w:right w:w="108" w:type="dxa"/>
          </w:tblCellMar>
        </w:tblPrEx>
        <w:trPr>
          <w:cantSplit/>
          <w:trHeight w:val="2128"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耗材</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医用耗材基础数据库产品申报时怎么选择目录？</w:t>
            </w:r>
          </w:p>
        </w:tc>
        <w:tc>
          <w:tcPr>
            <w:tcW w:w="8807"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产品目录只是产品类别或范围，企业申报产品名称不一定要与目录名称完全一致。凡在已公布的目录范围内的产品，均通过网上进行信息申报，企业使用CA登录耗材基础数据库，自行判断选择与申报产品相适应的产品目录进行申报，工作人员不负责对产品目录选择提供建议，且不接受新增目录的申请。</w:t>
            </w:r>
          </w:p>
          <w:p>
            <w:pPr>
              <w:widowControl/>
              <w:adjustRightInd w:val="0"/>
              <w:snapToGrid w:val="0"/>
              <w:rPr>
                <w:rFonts w:ascii="宋体" w:hAnsi="宋体" w:cs="宋体"/>
                <w:kern w:val="0"/>
                <w:sz w:val="24"/>
                <w:szCs w:val="24"/>
              </w:rPr>
            </w:pPr>
            <w:r>
              <w:rPr>
                <w:rFonts w:hint="eastAsia" w:ascii="宋体" w:hAnsi="宋体" w:cs="宋体"/>
                <w:kern w:val="0"/>
                <w:sz w:val="24"/>
                <w:szCs w:val="24"/>
              </w:rPr>
              <w:t>同一组件下的所有组件拆分信息(code)与组件申报价格一致。不同规格型号价格不同的组件应分开进行申报。</w:t>
            </w:r>
          </w:p>
        </w:tc>
      </w:tr>
      <w:tr>
        <w:tblPrEx>
          <w:tblLayout w:type="fixed"/>
          <w:tblCellMar>
            <w:top w:w="0" w:type="dxa"/>
            <w:left w:w="108" w:type="dxa"/>
            <w:bottom w:w="0" w:type="dxa"/>
            <w:right w:w="108" w:type="dxa"/>
          </w:tblCellMar>
        </w:tblPrEx>
        <w:trPr>
          <w:cantSplit/>
          <w:trHeight w:val="1814"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耗材</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关于医用耗材包装数和包装单位的填报问题？</w:t>
            </w:r>
          </w:p>
        </w:tc>
        <w:tc>
          <w:tcPr>
            <w:tcW w:w="8807"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在组件基本信息里，有“最小包装单位、最小包装数量、产品包装单位（计价单位）”3个字段。例如：***产品，一盒内装有3个。如果该产品以盒为单位销售给医疗机构，则最小包装单位为“个”，最小包装数量为“3”，产品包装单位为“盒”，价格信息栏填写整盒价格；若可按单个销售给医院，则最小包装数填写1，单位和包装单位都填写“个”，价格信息栏填写单个产品的价格。</w:t>
            </w:r>
          </w:p>
        </w:tc>
      </w:tr>
      <w:tr>
        <w:tblPrEx>
          <w:tblLayout w:type="fixed"/>
          <w:tblCellMar>
            <w:top w:w="0" w:type="dxa"/>
            <w:left w:w="108" w:type="dxa"/>
            <w:bottom w:w="0" w:type="dxa"/>
            <w:right w:w="108" w:type="dxa"/>
          </w:tblCellMar>
        </w:tblPrEx>
        <w:trPr>
          <w:cantSplit/>
          <w:trHeight w:val="1807"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耗材</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医用耗材企业和产品如何申请新增和信息变更？</w:t>
            </w:r>
          </w:p>
        </w:tc>
        <w:tc>
          <w:tcPr>
            <w:tcW w:w="8807"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医用耗材产品基础数据库系统长期开放，企业可随时进行填报与及时更新，未提交前可直接修改。资料提交经审核且挂网后，可按信息变更流程进行相应修改。变更信息均通过网上申请，1-2个月左右时间核验一次，其中信息变更公示完成后自动导入交易系统，</w:t>
            </w:r>
          </w:p>
        </w:tc>
      </w:tr>
      <w:tr>
        <w:tblPrEx>
          <w:tblLayout w:type="fixed"/>
          <w:tblCellMar>
            <w:top w:w="0" w:type="dxa"/>
            <w:left w:w="108" w:type="dxa"/>
            <w:bottom w:w="0" w:type="dxa"/>
            <w:right w:w="108" w:type="dxa"/>
          </w:tblCellMar>
        </w:tblPrEx>
        <w:trPr>
          <w:cantSplit/>
          <w:trHeight w:val="23"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耗材</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医疗机构网上议价和采购医用耗材的流程</w:t>
            </w:r>
          </w:p>
        </w:tc>
        <w:tc>
          <w:tcPr>
            <w:tcW w:w="8807"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医疗机构针对产品和配送企业建立采购目录，发起议价，由配送企业确认议价。一旦议价成功形成议价记录不能删除。如需要调整价格，可由医疗机构重新发起议价，一年之内可修改2次。</w:t>
            </w:r>
          </w:p>
          <w:p>
            <w:pPr>
              <w:widowControl/>
              <w:adjustRightInd w:val="0"/>
              <w:snapToGrid w:val="0"/>
              <w:rPr>
                <w:rFonts w:ascii="宋体" w:hAnsi="宋体" w:cs="宋体"/>
                <w:kern w:val="0"/>
                <w:sz w:val="24"/>
                <w:szCs w:val="24"/>
              </w:rPr>
            </w:pPr>
            <w:r>
              <w:rPr>
                <w:rFonts w:hint="eastAsia" w:ascii="宋体" w:hAnsi="宋体" w:cs="宋体"/>
                <w:kern w:val="0"/>
                <w:sz w:val="24"/>
                <w:szCs w:val="24"/>
              </w:rPr>
              <w:t>如急需使用未挂网的产品，可以先采购后要求企业到省采购平台维护相关产品信息，挂网成功后补单。</w:t>
            </w:r>
          </w:p>
        </w:tc>
      </w:tr>
      <w:tr>
        <w:tblPrEx>
          <w:tblLayout w:type="fixed"/>
          <w:tblCellMar>
            <w:top w:w="0" w:type="dxa"/>
            <w:left w:w="108" w:type="dxa"/>
            <w:bottom w:w="0" w:type="dxa"/>
            <w:right w:w="108" w:type="dxa"/>
          </w:tblCellMar>
        </w:tblPrEx>
        <w:trPr>
          <w:cantSplit/>
          <w:trHeight w:val="3545"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耗材</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医用耗材阳光挂网采购系统的企业、产品各类信息状态解释</w:t>
            </w:r>
          </w:p>
        </w:tc>
        <w:tc>
          <w:tcPr>
            <w:tcW w:w="8807"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1.产品/企业信息管理</w:t>
            </w:r>
          </w:p>
          <w:p>
            <w:pPr>
              <w:widowControl/>
              <w:adjustRightInd w:val="0"/>
              <w:snapToGrid w:val="0"/>
              <w:rPr>
                <w:rFonts w:ascii="宋体" w:hAnsi="宋体" w:cs="宋体"/>
                <w:kern w:val="0"/>
                <w:sz w:val="24"/>
                <w:szCs w:val="24"/>
              </w:rPr>
            </w:pPr>
            <w:r>
              <w:rPr>
                <w:rFonts w:hint="eastAsia" w:ascii="宋体" w:hAnsi="宋体" w:cs="宋体"/>
                <w:kern w:val="0"/>
                <w:sz w:val="24"/>
                <w:szCs w:val="24"/>
              </w:rPr>
              <w:t>已填报未送审——未送审，应由企业进行下一步操作。</w:t>
            </w:r>
          </w:p>
          <w:p>
            <w:pPr>
              <w:widowControl/>
              <w:adjustRightInd w:val="0"/>
              <w:snapToGrid w:val="0"/>
              <w:rPr>
                <w:rFonts w:ascii="宋体" w:hAnsi="宋体" w:cs="宋体"/>
                <w:kern w:val="0"/>
                <w:sz w:val="24"/>
                <w:szCs w:val="24"/>
              </w:rPr>
            </w:pPr>
            <w:r>
              <w:rPr>
                <w:rFonts w:hint="eastAsia" w:ascii="宋体" w:hAnsi="宋体" w:cs="宋体"/>
                <w:kern w:val="0"/>
                <w:sz w:val="24"/>
                <w:szCs w:val="24"/>
              </w:rPr>
              <w:t>审核中——已完成初审，等待复审。</w:t>
            </w:r>
          </w:p>
          <w:p>
            <w:pPr>
              <w:widowControl/>
              <w:adjustRightInd w:val="0"/>
              <w:snapToGrid w:val="0"/>
              <w:rPr>
                <w:rFonts w:ascii="宋体" w:hAnsi="宋体" w:cs="宋体"/>
                <w:kern w:val="0"/>
                <w:sz w:val="24"/>
                <w:szCs w:val="24"/>
              </w:rPr>
            </w:pPr>
            <w:r>
              <w:rPr>
                <w:rFonts w:hint="eastAsia" w:ascii="宋体" w:hAnsi="宋体" w:cs="宋体"/>
                <w:kern w:val="0"/>
                <w:sz w:val="24"/>
                <w:szCs w:val="24"/>
              </w:rPr>
              <w:t>需修改或补充——应由企业进行下一步操作，需要按审核意见修改后，再送审。</w:t>
            </w:r>
          </w:p>
          <w:p>
            <w:pPr>
              <w:widowControl/>
              <w:adjustRightInd w:val="0"/>
              <w:snapToGrid w:val="0"/>
              <w:rPr>
                <w:rFonts w:ascii="宋体" w:hAnsi="宋体" w:cs="宋体"/>
                <w:kern w:val="0"/>
                <w:sz w:val="24"/>
                <w:szCs w:val="24"/>
              </w:rPr>
            </w:pPr>
            <w:r>
              <w:rPr>
                <w:rFonts w:hint="eastAsia" w:ascii="宋体" w:hAnsi="宋体" w:cs="宋体"/>
                <w:kern w:val="0"/>
                <w:sz w:val="24"/>
                <w:szCs w:val="24"/>
              </w:rPr>
              <w:t>重新修改并提交/审核不通过再送审——已二次送审并等待审核，暂未审核，应等待省交易中心下一步操作。</w:t>
            </w:r>
          </w:p>
          <w:p>
            <w:pPr>
              <w:widowControl/>
              <w:adjustRightInd w:val="0"/>
              <w:snapToGrid w:val="0"/>
              <w:rPr>
                <w:rFonts w:ascii="宋体" w:hAnsi="宋体" w:cs="宋体"/>
                <w:kern w:val="0"/>
                <w:sz w:val="24"/>
                <w:szCs w:val="24"/>
              </w:rPr>
            </w:pPr>
            <w:r>
              <w:rPr>
                <w:rFonts w:hint="eastAsia" w:ascii="宋体" w:hAnsi="宋体" w:cs="宋体"/>
                <w:kern w:val="0"/>
                <w:sz w:val="24"/>
                <w:szCs w:val="24"/>
              </w:rPr>
              <w:t>复审不通过——此条信息终止，企业不能再次操作，如有异议，请联系湖南省公共资源交易中心</w:t>
            </w:r>
          </w:p>
          <w:p>
            <w:pPr>
              <w:widowControl/>
              <w:adjustRightInd w:val="0"/>
              <w:snapToGrid w:val="0"/>
              <w:rPr>
                <w:rFonts w:ascii="宋体" w:hAnsi="宋体" w:cs="宋体"/>
                <w:kern w:val="0"/>
                <w:sz w:val="24"/>
                <w:szCs w:val="24"/>
              </w:rPr>
            </w:pPr>
            <w:r>
              <w:rPr>
                <w:rFonts w:hint="eastAsia" w:ascii="宋体" w:hAnsi="宋体" w:cs="宋体"/>
                <w:kern w:val="0"/>
                <w:sz w:val="24"/>
                <w:szCs w:val="24"/>
              </w:rPr>
              <w:t>2.信息变更管理</w:t>
            </w:r>
          </w:p>
          <w:p>
            <w:pPr>
              <w:widowControl/>
              <w:adjustRightInd w:val="0"/>
              <w:snapToGrid w:val="0"/>
              <w:rPr>
                <w:rFonts w:ascii="宋体" w:hAnsi="宋体" w:cs="宋体"/>
                <w:kern w:val="0"/>
                <w:sz w:val="24"/>
                <w:szCs w:val="24"/>
              </w:rPr>
            </w:pPr>
            <w:r>
              <w:rPr>
                <w:rFonts w:hint="eastAsia" w:ascii="宋体" w:hAnsi="宋体" w:cs="宋体"/>
                <w:kern w:val="0"/>
                <w:sz w:val="24"/>
                <w:szCs w:val="24"/>
              </w:rPr>
              <w:t>审核中——已完成初审，等待复审。</w:t>
            </w:r>
          </w:p>
          <w:p>
            <w:pPr>
              <w:widowControl/>
              <w:adjustRightInd w:val="0"/>
              <w:snapToGrid w:val="0"/>
              <w:rPr>
                <w:rFonts w:ascii="宋体" w:hAnsi="宋体" w:cs="宋体"/>
                <w:kern w:val="0"/>
                <w:sz w:val="24"/>
                <w:szCs w:val="24"/>
              </w:rPr>
            </w:pPr>
            <w:r>
              <w:rPr>
                <w:rFonts w:hint="eastAsia" w:ascii="宋体" w:hAnsi="宋体" w:cs="宋体"/>
                <w:kern w:val="0"/>
                <w:sz w:val="24"/>
                <w:szCs w:val="24"/>
              </w:rPr>
              <w:t>复审不通过——此次变更申请不通过，应按审核意见重新新增信息变更申请。</w:t>
            </w:r>
          </w:p>
        </w:tc>
      </w:tr>
      <w:tr>
        <w:tblPrEx>
          <w:tblLayout w:type="fixed"/>
          <w:tblCellMar>
            <w:top w:w="0" w:type="dxa"/>
            <w:left w:w="108" w:type="dxa"/>
            <w:bottom w:w="0" w:type="dxa"/>
            <w:right w:w="108" w:type="dxa"/>
          </w:tblCellMar>
        </w:tblPrEx>
        <w:trPr>
          <w:cantSplit/>
          <w:trHeight w:val="1524"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耗材</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高值医用耗材限价挂网和备案采购有什么区别？</w:t>
            </w:r>
          </w:p>
        </w:tc>
        <w:tc>
          <w:tcPr>
            <w:tcW w:w="8807"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省际联盟牵头省份（陕西省）已挂网公布的高值医用耗材限价挂网数据库内的产品，经动态调整后，进入我省限价挂网采购数据库。在我省平台注册并维护的产品，皆纳入备案采购数据库。医疗机构备案高值医用耗材金额不得超过本单位本类产品采购总金额的15%，限价挂网数据库的产品没有金额的限制。</w:t>
            </w:r>
          </w:p>
        </w:tc>
      </w:tr>
      <w:tr>
        <w:tblPrEx>
          <w:tblLayout w:type="fixed"/>
          <w:tblCellMar>
            <w:top w:w="0" w:type="dxa"/>
            <w:left w:w="108" w:type="dxa"/>
            <w:bottom w:w="0" w:type="dxa"/>
            <w:right w:w="108" w:type="dxa"/>
          </w:tblCellMar>
        </w:tblPrEx>
        <w:trPr>
          <w:cantSplit/>
          <w:trHeight w:val="848"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耗材</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新申报组件如何才能导入交易系统</w:t>
            </w:r>
          </w:p>
        </w:tc>
        <w:tc>
          <w:tcPr>
            <w:tcW w:w="8807"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新申报组件的企业、注册证、组件、CODE信息全部提交（无先后顺序要求）并复审通过后将，经公示无异议的产品将纳入交易系统。</w:t>
            </w:r>
          </w:p>
        </w:tc>
      </w:tr>
      <w:tr>
        <w:tblPrEx>
          <w:tblLayout w:type="fixed"/>
          <w:tblCellMar>
            <w:top w:w="0" w:type="dxa"/>
            <w:left w:w="108" w:type="dxa"/>
            <w:bottom w:w="0" w:type="dxa"/>
            <w:right w:w="108" w:type="dxa"/>
          </w:tblCellMar>
        </w:tblPrEx>
        <w:trPr>
          <w:cantSplit/>
          <w:trHeight w:val="1055" w:hRule="atLeast"/>
        </w:trPr>
        <w:tc>
          <w:tcPr>
            <w:tcW w:w="701" w:type="dxa"/>
            <w:tcBorders>
              <w:top w:val="nil"/>
              <w:left w:val="single" w:color="auto" w:sz="4" w:space="0"/>
              <w:bottom w:val="single" w:color="auto" w:sz="4" w:space="0"/>
              <w:right w:val="single" w:color="auto" w:sz="4" w:space="0"/>
            </w:tcBorders>
            <w:vAlign w:val="center"/>
          </w:tcPr>
          <w:p>
            <w:pPr>
              <w:widowControl/>
              <w:numPr>
                <w:ilvl w:val="0"/>
                <w:numId w:val="1"/>
              </w:numPr>
              <w:adjustRightInd w:val="0"/>
              <w:snapToGrid w:val="0"/>
              <w:jc w:val="center"/>
              <w:rPr>
                <w:rFonts w:ascii="宋体" w:hAnsi="宋体" w:cs="宋体"/>
                <w:kern w:val="0"/>
                <w:sz w:val="24"/>
                <w:szCs w:val="24"/>
              </w:rPr>
            </w:pPr>
          </w:p>
        </w:tc>
        <w:tc>
          <w:tcPr>
            <w:tcW w:w="1272" w:type="dxa"/>
            <w:tcBorders>
              <w:top w:val="nil"/>
              <w:left w:val="nil"/>
              <w:bottom w:val="single" w:color="auto" w:sz="4" w:space="0"/>
              <w:right w:val="single" w:color="auto" w:sz="4" w:space="0"/>
            </w:tcBorders>
            <w:vAlign w:val="center"/>
          </w:tcPr>
          <w:p>
            <w:pPr>
              <w:widowControl/>
              <w:adjustRightInd w:val="0"/>
              <w:snapToGrid w:val="0"/>
              <w:jc w:val="center"/>
              <w:rPr>
                <w:rFonts w:ascii="宋体" w:hAnsi="宋体" w:cs="宋体"/>
                <w:kern w:val="0"/>
                <w:sz w:val="24"/>
                <w:szCs w:val="24"/>
              </w:rPr>
            </w:pPr>
            <w:r>
              <w:rPr>
                <w:rFonts w:hint="eastAsia" w:ascii="宋体" w:hAnsi="宋体" w:cs="宋体"/>
                <w:kern w:val="0"/>
                <w:sz w:val="24"/>
                <w:szCs w:val="24"/>
              </w:rPr>
              <w:t>耗材</w:t>
            </w:r>
          </w:p>
        </w:tc>
        <w:tc>
          <w:tcPr>
            <w:tcW w:w="3276"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已挂网产品如何取消？</w:t>
            </w:r>
          </w:p>
        </w:tc>
        <w:tc>
          <w:tcPr>
            <w:tcW w:w="8807" w:type="dxa"/>
            <w:tcBorders>
              <w:top w:val="nil"/>
              <w:left w:val="nil"/>
              <w:bottom w:val="single" w:color="auto" w:sz="4" w:space="0"/>
              <w:right w:val="single" w:color="auto" w:sz="4" w:space="0"/>
            </w:tcBorders>
            <w:vAlign w:val="center"/>
          </w:tcPr>
          <w:p>
            <w:pPr>
              <w:widowControl/>
              <w:adjustRightInd w:val="0"/>
              <w:snapToGrid w:val="0"/>
              <w:rPr>
                <w:rFonts w:ascii="宋体" w:hAnsi="宋体" w:cs="宋体"/>
                <w:kern w:val="0"/>
                <w:sz w:val="24"/>
                <w:szCs w:val="24"/>
              </w:rPr>
            </w:pPr>
            <w:r>
              <w:rPr>
                <w:rFonts w:hint="eastAsia" w:ascii="宋体" w:hAnsi="宋体" w:cs="宋体"/>
                <w:kern w:val="0"/>
                <w:sz w:val="24"/>
                <w:szCs w:val="24"/>
              </w:rPr>
              <w:t>可以在信息变更管理里删除组件申请，经复审通过并公示无异议后，生产企业删除同步操作后才能取消挂网，但原交易记录仍将保留。</w:t>
            </w:r>
          </w:p>
        </w:tc>
      </w:tr>
    </w:tbl>
    <w:p>
      <w:pPr>
        <w:ind w:firstLine="640" w:firstLineChars="200"/>
        <w:rPr>
          <w:rFonts w:ascii="仿宋_GB2312" w:eastAsia="仿宋_GB2312"/>
          <w:sz w:val="32"/>
          <w:szCs w:val="32"/>
        </w:rPr>
      </w:pPr>
    </w:p>
    <w:sectPr>
      <w:pgSz w:w="16838" w:h="11906" w:orient="landscape"/>
      <w:pgMar w:top="1800" w:right="1440" w:bottom="1800" w:left="1440"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Calibri Light">
    <w:panose1 w:val="020F0302020204030204"/>
    <w:charset w:val="00"/>
    <w:family w:val="swiss"/>
    <w:pitch w:val="default"/>
    <w:sig w:usb0="A00002EF" w:usb1="4000207B" w:usb2="00000000" w:usb3="00000000" w:csb0="2000019F" w:csb1="00000000"/>
  </w:font>
  <w:font w:name="Arial">
    <w:panose1 w:val="020B0604020202020204"/>
    <w:charset w:val="00"/>
    <w:family w:val="auto"/>
    <w:pitch w:val="default"/>
    <w:sig w:usb0="E0002AFF" w:usb1="C0007843" w:usb2="00000009" w:usb3="00000000" w:csb0="400001FF" w:csb1="FFFF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79882254"/>
    </w:sdtPr>
    <w:sdtContent>
      <w:p>
        <w:pPr>
          <w:pStyle w:val="3"/>
          <w:jc w:val="right"/>
        </w:pP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PAGE   \* MERGEFORMAT</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w:t>
        </w:r>
        <w:r>
          <w:rPr>
            <w:rFonts w:asciiTheme="minorEastAsia" w:hAnsiTheme="minorEastAsia" w:eastAsiaTheme="minorEastAsia"/>
            <w:sz w:val="28"/>
            <w:szCs w:val="28"/>
          </w:rPr>
          <w:t xml:space="preserve"> 7 -</w:t>
        </w:r>
        <w:r>
          <w:rPr>
            <w:rFonts w:asciiTheme="minorEastAsia" w:hAnsiTheme="minorEastAsia" w:eastAsiaTheme="minorEastAsia"/>
            <w:sz w:val="28"/>
            <w:szCs w:val="28"/>
          </w:rPr>
          <w:fldChar w:fldCharType="end"/>
        </w:r>
      </w:p>
    </w:sdtContent>
  </w:sdt>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68691197"/>
    </w:sdtPr>
    <w:sdtEndPr>
      <w:rPr>
        <w:rFonts w:asciiTheme="minorEastAsia" w:hAnsiTheme="minorEastAsia" w:eastAsiaTheme="minorEastAsia"/>
      </w:rPr>
    </w:sdtEndPr>
    <w:sdtContent>
      <w:p>
        <w:pPr>
          <w:pStyle w:val="3"/>
          <w:rPr>
            <w:rFonts w:asciiTheme="minorEastAsia" w:hAnsiTheme="minorEastAsia" w:eastAsiaTheme="minorEastAsia"/>
          </w:rPr>
        </w:pP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PAGE   \* MERGEFORMAT</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w:t>
        </w:r>
        <w:r>
          <w:rPr>
            <w:rFonts w:asciiTheme="minorEastAsia" w:hAnsiTheme="minorEastAsia" w:eastAsiaTheme="minorEastAsia"/>
            <w:sz w:val="28"/>
            <w:szCs w:val="28"/>
          </w:rPr>
          <w:t xml:space="preserve"> 2 -</w:t>
        </w:r>
        <w:r>
          <w:rPr>
            <w:rFonts w:asciiTheme="minorEastAsia" w:hAnsiTheme="minorEastAsia" w:eastAsiaTheme="minorEastAsia"/>
            <w:sz w:val="28"/>
            <w:szCs w:val="28"/>
          </w:rPr>
          <w:fldChar w:fldCharType="end"/>
        </w:r>
      </w:p>
    </w:sdtContent>
  </w:sdt>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CF3023"/>
    <w:multiLevelType w:val="singleLevel"/>
    <w:tmpl w:val="5ECF3023"/>
    <w:lvl w:ilvl="0" w:tentative="0">
      <w:start w:val="1"/>
      <w:numFmt w:val="decimal"/>
      <w:suff w:val="nothing"/>
      <w:lvlText w:val="%1"/>
      <w:lvlJc w:val="center"/>
      <w:pPr>
        <w:tabs>
          <w:tab w:val="left" w:pos="0"/>
        </w:tabs>
        <w:ind w:left="0" w:firstLine="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1C10"/>
    <w:rsid w:val="0001278A"/>
    <w:rsid w:val="001B0803"/>
    <w:rsid w:val="00273875"/>
    <w:rsid w:val="003B0C6A"/>
    <w:rsid w:val="00404396"/>
    <w:rsid w:val="00566197"/>
    <w:rsid w:val="007D60E6"/>
    <w:rsid w:val="00850DB9"/>
    <w:rsid w:val="00944870"/>
    <w:rsid w:val="00AB0949"/>
    <w:rsid w:val="00AE7E79"/>
    <w:rsid w:val="00BC1C10"/>
    <w:rsid w:val="00DF6483"/>
    <w:rsid w:val="17937C14"/>
    <w:rsid w:val="2EA3366C"/>
    <w:rsid w:val="4A8D5A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unhideWhenUsed/>
    <w:uiPriority w:val="1"/>
  </w:style>
  <w:style w:type="table" w:default="1" w:styleId="6">
    <w:name w:val="Normal Table"/>
    <w:unhideWhenUsed/>
    <w:uiPriority w:val="99"/>
    <w:tblPr>
      <w:tblLayout w:type="fixed"/>
      <w:tblCellMar>
        <w:top w:w="0" w:type="dxa"/>
        <w:left w:w="108" w:type="dxa"/>
        <w:bottom w:w="0" w:type="dxa"/>
        <w:right w:w="108" w:type="dxa"/>
      </w:tblCellMar>
    </w:tblPr>
  </w:style>
  <w:style w:type="paragraph" w:styleId="2">
    <w:name w:val="Balloon Text"/>
    <w:basedOn w:val="1"/>
    <w:link w:val="9"/>
    <w:unhideWhenUsed/>
    <w:uiPriority w:val="99"/>
    <w:rPr>
      <w:sz w:val="18"/>
      <w:szCs w:val="18"/>
    </w:rPr>
  </w:style>
  <w:style w:type="paragraph" w:styleId="3">
    <w:name w:val="footer"/>
    <w:basedOn w:val="1"/>
    <w:link w:val="8"/>
    <w:unhideWhenUsed/>
    <w:uiPriority w:val="99"/>
    <w:pPr>
      <w:tabs>
        <w:tab w:val="center" w:pos="4153"/>
        <w:tab w:val="right" w:pos="8306"/>
      </w:tabs>
      <w:snapToGrid w:val="0"/>
      <w:jc w:val="left"/>
    </w:pPr>
    <w:rPr>
      <w:sz w:val="18"/>
      <w:szCs w:val="18"/>
    </w:rPr>
  </w:style>
  <w:style w:type="paragraph" w:styleId="4">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5"/>
    <w:link w:val="4"/>
    <w:uiPriority w:val="99"/>
    <w:rPr>
      <w:rFonts w:ascii="Calibri" w:hAnsi="Calibri" w:eastAsia="宋体" w:cs="Times New Roman"/>
      <w:sz w:val="18"/>
      <w:szCs w:val="18"/>
    </w:rPr>
  </w:style>
  <w:style w:type="character" w:customStyle="1" w:styleId="8">
    <w:name w:val="页脚 Char"/>
    <w:basedOn w:val="5"/>
    <w:link w:val="3"/>
    <w:qFormat/>
    <w:uiPriority w:val="99"/>
    <w:rPr>
      <w:rFonts w:ascii="Calibri" w:hAnsi="Calibri" w:eastAsia="宋体" w:cs="Times New Roman"/>
      <w:sz w:val="18"/>
      <w:szCs w:val="18"/>
    </w:rPr>
  </w:style>
  <w:style w:type="character" w:customStyle="1" w:styleId="9">
    <w:name w:val="批注框文本 Char"/>
    <w:basedOn w:val="5"/>
    <w:link w:val="2"/>
    <w:semiHidden/>
    <w:qFormat/>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718</Words>
  <Characters>4097</Characters>
  <Lines>34</Lines>
  <Paragraphs>9</Paragraphs>
  <ScaleCrop>false</ScaleCrop>
  <LinksUpToDate>false</LinksUpToDate>
  <CharactersWithSpaces>4806</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2020-06-02T07:14:00Z</dcterms:created>
  <dc:creator>综合部文印室</dc:creator>
  <cp:lastModifiedBy>刘怡君 </cp:lastModifiedBy>
  <cp:lastPrinted>2020-06-02T08:27:00Z</cp:lastPrinted>
  <dcterms:modified xsi:type="dcterms:W3CDTF">2020-06-03T03:03:30Z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