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74" w:rsidRDefault="00252E51">
      <w:pPr>
        <w:pStyle w:val="a3"/>
        <w:spacing w:line="592" w:lineRule="exact"/>
        <w:rPr>
          <w:rFonts w:ascii="Times New Roman" w:eastAsia="仿宋_GB2312" w:hAnsi="Times New Roman" w:cs="Times New Roman"/>
          <w:bCs/>
          <w:lang w:val="en-US"/>
        </w:rPr>
      </w:pPr>
      <w:r>
        <w:rPr>
          <w:rFonts w:ascii="Times New Roman" w:eastAsia="仿宋_GB2312" w:hAnsi="Times New Roman" w:cs="Times New Roman" w:hint="eastAsia"/>
          <w:bCs/>
          <w:lang w:val="en-US"/>
        </w:rPr>
        <w:t>附件</w:t>
      </w:r>
      <w:r>
        <w:rPr>
          <w:rFonts w:ascii="Times New Roman" w:eastAsia="仿宋_GB2312" w:hAnsi="Times New Roman" w:cs="Times New Roman" w:hint="eastAsia"/>
          <w:bCs/>
          <w:lang w:val="en-US"/>
        </w:rPr>
        <w:t>1</w:t>
      </w:r>
    </w:p>
    <w:p w:rsidR="00134874" w:rsidRDefault="00134874">
      <w:pPr>
        <w:pStyle w:val="a3"/>
        <w:spacing w:line="592" w:lineRule="exact"/>
        <w:rPr>
          <w:rFonts w:ascii="Times New Roman" w:eastAsia="仿宋_GB2312" w:hAnsi="Times New Roman" w:cs="Times New Roman"/>
          <w:bCs/>
          <w:lang w:val="en-US"/>
        </w:rPr>
      </w:pPr>
    </w:p>
    <w:p w:rsidR="00134874" w:rsidRDefault="00252E51">
      <w:pPr>
        <w:pStyle w:val="a3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湖南省抗菌药物专项集中采购拟中标</w:t>
      </w:r>
    </w:p>
    <w:p w:rsidR="00134874" w:rsidRDefault="00252E51">
      <w:pPr>
        <w:pStyle w:val="a3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药品价格纠偏方案</w:t>
      </w:r>
    </w:p>
    <w:p w:rsidR="00134874" w:rsidRDefault="00134874">
      <w:pPr>
        <w:pStyle w:val="a3"/>
        <w:spacing w:line="640" w:lineRule="exact"/>
        <w:ind w:left="0"/>
        <w:rPr>
          <w:rFonts w:ascii="方正小标宋简体" w:eastAsia="方正小标宋简体" w:hAnsi="方正小标宋简体" w:cs="方正小标宋简体"/>
          <w:bCs/>
          <w:sz w:val="44"/>
          <w:szCs w:val="44"/>
          <w:lang w:val="en-US"/>
        </w:rPr>
      </w:pPr>
    </w:p>
    <w:p w:rsidR="00134874" w:rsidRDefault="00252E51">
      <w:pPr>
        <w:spacing w:line="592" w:lineRule="exact"/>
        <w:ind w:firstLineChars="200" w:firstLine="624"/>
        <w:jc w:val="left"/>
        <w:rPr>
          <w:rFonts w:ascii="Times New Roman" w:eastAsia="仿宋_GB2312" w:hAnsi="Times New Roman" w:cs="Times New Roman"/>
          <w:bCs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根据《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关于印发〈湖南省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年公立医疗机构抗菌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药物专项集中采购实施方案〉的通知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》（湘</w:t>
      </w:r>
      <w:proofErr w:type="gramStart"/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保发〔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）相关规定，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为科学解决部分拟中标药品比价关系明显不合理问题，进一步促进药品价格合理降低，经对拟中标价格梳理排查，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组织相关部门以及药学专家专业咨询论证后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研究制定了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抗菌药物专项集中采购拟中标药品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价格纠偏方案。</w:t>
      </w:r>
    </w:p>
    <w:p w:rsidR="00134874" w:rsidRDefault="00252E51">
      <w:pPr>
        <w:spacing w:line="592" w:lineRule="exact"/>
        <w:ind w:firstLineChars="200" w:firstLine="624"/>
        <w:jc w:val="left"/>
        <w:rPr>
          <w:rFonts w:ascii="Times New Roman" w:eastAsia="仿宋_GB2312" w:hAnsi="Times New Roman" w:cs="Times New Roman"/>
          <w:bCs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在充分尊重企业市场行为基础上，综合考虑临床使用量及患者医药费用负担，重点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将拟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中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标价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元以上的注射剂及价格异常其他剂型纳入纠偏范围。</w:t>
      </w:r>
    </w:p>
    <w:p w:rsidR="00134874" w:rsidRDefault="00252E51">
      <w:pPr>
        <w:spacing w:line="592" w:lineRule="exact"/>
        <w:ind w:firstLineChars="200" w:firstLine="624"/>
        <w:jc w:val="left"/>
        <w:rPr>
          <w:rFonts w:ascii="Times New Roman" w:eastAsia="仿宋_GB2312" w:hAnsi="Times New Roman" w:cs="Times New Roman"/>
          <w:bCs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同生产厂家同通用名同剂型不同规格之间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明显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不符合药品差比价规则要求的，以相对较低价为代表品，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对拟中标价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高于差比价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以上的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规格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进行纠偏调整，以差比价为基准不超过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120%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作为拟中标价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。</w:t>
      </w:r>
    </w:p>
    <w:p w:rsidR="00134874" w:rsidRDefault="00252E51">
      <w:pPr>
        <w:spacing w:line="592" w:lineRule="exact"/>
        <w:ind w:firstLineChars="200" w:firstLine="624"/>
        <w:jc w:val="left"/>
        <w:rPr>
          <w:rFonts w:ascii="Times New Roman" w:eastAsia="仿宋_GB2312" w:hAnsi="Times New Roman" w:cs="Times New Roman"/>
          <w:bCs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同通用名同质量层次不同规格之间出现价格倒挂（小规格价格大于大规格价格），以大规格为参照品，不超过大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规格拟中标价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110%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作为小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规格拟中标价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。</w:t>
      </w:r>
    </w:p>
    <w:p w:rsidR="00134874" w:rsidRDefault="00252E51">
      <w:pPr>
        <w:spacing w:line="592" w:lineRule="exact"/>
        <w:ind w:firstLineChars="200" w:firstLine="624"/>
        <w:jc w:val="left"/>
        <w:rPr>
          <w:rFonts w:ascii="Times New Roman" w:eastAsia="仿宋_GB2312" w:hAnsi="Times New Roman" w:cs="Times New Roman"/>
          <w:bCs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四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同通用名同规格同质量层次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不同包材之间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价格倒挂，以价格较低拟中标为参照品，按参照品同等降幅确定价格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倒挂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lastRenderedPageBreak/>
        <w:t>品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拟中标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价格。同通用名同规格同质量层次不同招标剂型之间价格倒挂，以价格较低拟中标为参照品，按参照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品拟中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标价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130%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作为价格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倒挂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品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拟中标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价格。</w:t>
      </w:r>
    </w:p>
    <w:p w:rsidR="00134874" w:rsidRDefault="00252E51">
      <w:pPr>
        <w:spacing w:line="592" w:lineRule="exact"/>
        <w:ind w:firstLineChars="200" w:firstLine="624"/>
        <w:jc w:val="left"/>
        <w:rPr>
          <w:rFonts w:ascii="Times New Roman" w:eastAsia="仿宋_GB2312" w:hAnsi="Times New Roman" w:cs="Times New Roman"/>
          <w:bCs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五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同通用名同规格不同质量层次之间价格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应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保持合理的比例关系，其中第三质量层次比值（同通用名同剂型同规格高质量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层次拟中标价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与低质量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层次拟中标价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之比）大于该质量层次平均比值（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8.1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）、第二质量层次比值大于该质量层次平均比值（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13.5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）的，以同通用名同规格第四质量层次拟招标价为基准价（第四质量层次竞争较为充分，价格相对合理），在尊重市场行为前提下，建立合理纠偏机制，进一步挤压价格虚高水分，即拟中标药品超过平均比值部分的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70%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计入纠偏范围，乘以第四质量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层次拟中标价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确定该药品最终拟中标价格。其中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个别品种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因比值偏离幅度太大（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超过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倍），</w:t>
      </w:r>
      <w:r>
        <w:rPr>
          <w:rFonts w:ascii="Times New Roman" w:eastAsia="仿宋_GB2312" w:hAnsi="Times New Roman" w:cs="Times New Roman" w:hint="eastAsia"/>
          <w:bCs/>
          <w:spacing w:val="-4"/>
          <w:sz w:val="32"/>
          <w:szCs w:val="32"/>
        </w:rPr>
        <w:t>且约定采购量巨大，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其超过平均比值部分按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40%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计入纠偏范围。</w:t>
      </w:r>
    </w:p>
    <w:p w:rsidR="00134874" w:rsidRDefault="00252E51">
      <w:pPr>
        <w:spacing w:line="592" w:lineRule="exact"/>
        <w:ind w:firstLineChars="200" w:firstLine="624"/>
        <w:jc w:val="left"/>
        <w:rPr>
          <w:rFonts w:ascii="Times New Roman" w:eastAsia="仿宋_GB2312" w:hAnsi="Times New Roman" w:cs="Times New Roman"/>
          <w:bCs/>
          <w:spacing w:val="-4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上述方案中，涉及多种纠偏情形的，按就低原则确定</w:t>
      </w:r>
      <w:proofErr w:type="gramStart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其拟中标价</w:t>
      </w:r>
      <w:proofErr w:type="gramEnd"/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；按上述规则调整金额小于或等于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0.1</w:t>
      </w:r>
      <w:r>
        <w:rPr>
          <w:rFonts w:ascii="Times New Roman" w:eastAsia="仿宋_GB2312" w:hAnsi="Times New Roman" w:cs="Times New Roman"/>
          <w:bCs/>
          <w:spacing w:val="-4"/>
          <w:sz w:val="32"/>
          <w:szCs w:val="32"/>
        </w:rPr>
        <w:t>元的品种，不予纠偏。</w:t>
      </w:r>
    </w:p>
    <w:p w:rsidR="00134874" w:rsidRDefault="00134874">
      <w:pPr>
        <w:pStyle w:val="a3"/>
        <w:spacing w:line="592" w:lineRule="exact"/>
        <w:ind w:left="0"/>
        <w:rPr>
          <w:rFonts w:ascii="Times New Roman" w:eastAsia="仿宋_GB2312" w:hAnsi="Times New Roman" w:cs="Times New Roman"/>
          <w:b/>
          <w:spacing w:val="-4"/>
        </w:rPr>
      </w:pPr>
    </w:p>
    <w:tbl>
      <w:tblPr>
        <w:tblW w:w="84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076"/>
        <w:gridCol w:w="1437"/>
        <w:gridCol w:w="2310"/>
        <w:gridCol w:w="1532"/>
        <w:gridCol w:w="1532"/>
      </w:tblGrid>
      <w:tr w:rsidR="00134874">
        <w:trPr>
          <w:trHeight w:val="640"/>
        </w:trPr>
        <w:tc>
          <w:tcPr>
            <w:tcW w:w="8430" w:type="dxa"/>
            <w:gridSpan w:val="6"/>
            <w:shd w:val="clear" w:color="auto" w:fill="auto"/>
            <w:vAlign w:val="bottom"/>
          </w:tcPr>
          <w:p w:rsidR="00F65851" w:rsidRDefault="00F65851">
            <w:pPr>
              <w:widowControl/>
              <w:spacing w:line="640" w:lineRule="exact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</w:p>
          <w:p w:rsidR="00F65851" w:rsidRDefault="00F65851">
            <w:pPr>
              <w:widowControl/>
              <w:spacing w:line="640" w:lineRule="exact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</w:p>
          <w:p w:rsidR="00F65851" w:rsidRDefault="00F65851">
            <w:pPr>
              <w:widowControl/>
              <w:spacing w:line="640" w:lineRule="exact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</w:p>
          <w:p w:rsidR="00F65851" w:rsidRDefault="00F65851">
            <w:pPr>
              <w:widowControl/>
              <w:spacing w:line="640" w:lineRule="exact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</w:p>
          <w:p w:rsidR="00F65851" w:rsidRDefault="00F65851">
            <w:pPr>
              <w:widowControl/>
              <w:spacing w:line="640" w:lineRule="exact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</w:p>
          <w:p w:rsidR="00134874" w:rsidRDefault="00252E51">
            <w:pPr>
              <w:widowControl/>
              <w:spacing w:line="640" w:lineRule="exact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lastRenderedPageBreak/>
              <w:t>纳入价格纠偏范围药品名单</w:t>
            </w: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招标通用名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招标剂型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生产企业名称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卡泊芬净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江苏恒瑞医药股份有限公司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70mg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阿莫西林克拉维酸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华北制药股份有限公司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300mg(250mg:50mg)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拉西林他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巴坦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海南美好西林生物制药有限公司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4.5g(4g:500mg)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利奈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注射用水针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四川美大康佳乐药业有限公司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600mg 300ml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口腔内用片剂及其他片剂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江苏亚邦强生药业有限公司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50mg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孢噻肟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广东金城金素制药有限公司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阿莫西林克拉维酸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口服常释剂型1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山西同达药业有限公司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312.5mg(250mg:62.5mg)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利奈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注射用水针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正大天晴药业集团股份有限公司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200mg 100ml（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莫西沙星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注射用水针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四川美大康华康药业有限公司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400mg 250ml（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莫西沙星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注射用水针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南京正大天晴制药有限公司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400mg 20ml（小水针）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阿奇霉素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集团欧意药业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孢噻肟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苏州东瑞制药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曲松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深圳立健药业有限公司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曲松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台湾泛生制药厂股份有限公司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阿奇霉素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海南普利制药股份有限公司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曲松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台湾泛生制药厂股份有限公司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孢噻肟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台湾政德制药股份有限公司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四川合信药业有限责任公司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匹胺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柳韩洋行</w:t>
            </w:r>
            <w:proofErr w:type="gram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孢噻肟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台湾政德制药股份有限公司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孢孟多酯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生达化学制药股份有限公司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阿奇霉素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颗粒剂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国药集团汕头金石制药有限公司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嗪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大熊制药株式会社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肟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口腔内用片剂及其他片剂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广州白云山制药总厂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100mg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134874">
        <w:trPr>
          <w:trHeight w:val="6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孢孟多酯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注射用粉针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生达化学制药股份有限公司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252E51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500mg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874" w:rsidRDefault="00134874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:rsidR="00134874" w:rsidRDefault="00134874">
      <w:pPr>
        <w:pStyle w:val="a3"/>
        <w:spacing w:line="592" w:lineRule="exact"/>
        <w:ind w:left="0"/>
        <w:rPr>
          <w:rFonts w:ascii="Times New Roman" w:eastAsia="仿宋_GB2312" w:hAnsi="Times New Roman" w:cs="Times New Roman"/>
          <w:b/>
          <w:spacing w:val="-4"/>
        </w:rPr>
      </w:pPr>
    </w:p>
    <w:p w:rsidR="00134874" w:rsidRDefault="00134874">
      <w:pPr>
        <w:rPr>
          <w:rFonts w:ascii="仿宋_GB2312" w:eastAsia="仿宋_GB2312" w:hAnsi="仿宋_GB2312" w:cs="仿宋_GB2312"/>
          <w:sz w:val="32"/>
          <w:szCs w:val="32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134874" w:rsidRDefault="00134874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</w:p>
    <w:p w:rsidR="00252E51" w:rsidRDefault="00252E51">
      <w:pPr>
        <w:spacing w:line="592" w:lineRule="exact"/>
        <w:rPr>
          <w:rStyle w:val="a6"/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sectPr w:rsidR="0025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1EE05"/>
    <w:multiLevelType w:val="singleLevel"/>
    <w:tmpl w:val="5E71EE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64BA"/>
    <w:rsid w:val="00134874"/>
    <w:rsid w:val="00172A27"/>
    <w:rsid w:val="001E268B"/>
    <w:rsid w:val="00250FD7"/>
    <w:rsid w:val="00252E51"/>
    <w:rsid w:val="002973C9"/>
    <w:rsid w:val="002B17E3"/>
    <w:rsid w:val="004117BA"/>
    <w:rsid w:val="00413BD2"/>
    <w:rsid w:val="004F45B3"/>
    <w:rsid w:val="005F668D"/>
    <w:rsid w:val="006D1A88"/>
    <w:rsid w:val="007433C9"/>
    <w:rsid w:val="00964A06"/>
    <w:rsid w:val="00A42374"/>
    <w:rsid w:val="00AF157E"/>
    <w:rsid w:val="00B027D3"/>
    <w:rsid w:val="00CE4DC3"/>
    <w:rsid w:val="00D0655F"/>
    <w:rsid w:val="00F65851"/>
    <w:rsid w:val="0BA93811"/>
    <w:rsid w:val="538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89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3D3C3C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eastAsia="Times New Roman" w:hint="eastAs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89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3D3C3C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eastAsia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8B8FA-CF7D-417D-8AD5-1B254CF8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王朝晖 </dc:creator>
  <cp:lastModifiedBy>王朝晖 </cp:lastModifiedBy>
  <cp:revision>3</cp:revision>
  <cp:lastPrinted>2020-03-19T01:49:00Z</cp:lastPrinted>
  <dcterms:created xsi:type="dcterms:W3CDTF">2020-03-19T02:56:00Z</dcterms:created>
  <dcterms:modified xsi:type="dcterms:W3CDTF">2020-03-19T02:57:00Z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